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DA8A3" w14:textId="77777777" w:rsidR="0016542F" w:rsidRPr="00F411E5" w:rsidRDefault="00F411E5" w:rsidP="009768B1">
      <w:pPr>
        <w:spacing w:before="120" w:after="240" w:line="276" w:lineRule="auto"/>
        <w:jc w:val="right"/>
        <w:rPr>
          <w:rFonts w:cs="Arial"/>
          <w:sz w:val="22"/>
        </w:rPr>
      </w:pPr>
      <w:r w:rsidRPr="00F411E5">
        <w:rPr>
          <w:rFonts w:cs="Arial"/>
          <w:sz w:val="22"/>
        </w:rPr>
        <w:t>Warszawa, 10 stycznia 2017 r.</w:t>
      </w:r>
    </w:p>
    <w:p w14:paraId="5BCB51E6" w14:textId="77777777" w:rsidR="00F411E5" w:rsidRPr="00DA4F61" w:rsidRDefault="00DA4F61" w:rsidP="00D52E82">
      <w:pPr>
        <w:spacing w:before="120" w:after="240" w:line="276" w:lineRule="auto"/>
        <w:jc w:val="center"/>
        <w:rPr>
          <w:rFonts w:cs="Arial"/>
          <w:b/>
          <w:sz w:val="26"/>
          <w:szCs w:val="26"/>
        </w:rPr>
      </w:pPr>
      <w:r w:rsidRPr="00DA4F61">
        <w:rPr>
          <w:rFonts w:cs="Arial"/>
          <w:b/>
          <w:sz w:val="26"/>
          <w:szCs w:val="26"/>
        </w:rPr>
        <w:t>Rodzime domy maklerskie opublikowały wyniki osiągane przez inwestorów</w:t>
      </w:r>
      <w:r>
        <w:rPr>
          <w:rFonts w:cs="Arial"/>
          <w:b/>
          <w:sz w:val="26"/>
          <w:szCs w:val="26"/>
        </w:rPr>
        <w:br/>
        <w:t>w IV kwartale 2016 r.</w:t>
      </w:r>
    </w:p>
    <w:p w14:paraId="2211D8D8" w14:textId="77777777" w:rsidR="00FF0309" w:rsidRPr="00683185" w:rsidRDefault="00FF0309" w:rsidP="00D52E82">
      <w:pPr>
        <w:spacing w:before="120" w:after="240" w:line="276" w:lineRule="auto"/>
        <w:jc w:val="both"/>
        <w:rPr>
          <w:rFonts w:cs="Arial"/>
          <w:b/>
          <w:sz w:val="22"/>
          <w:szCs w:val="22"/>
        </w:rPr>
      </w:pPr>
      <w:r w:rsidRPr="00FF0309">
        <w:rPr>
          <w:rFonts w:cs="Arial"/>
          <w:b/>
          <w:sz w:val="22"/>
          <w:szCs w:val="22"/>
        </w:rPr>
        <w:t>Zgodnie z</w:t>
      </w:r>
      <w:r w:rsidR="00DA4F61" w:rsidRPr="00FF0309">
        <w:rPr>
          <w:rFonts w:cs="Arial"/>
          <w:b/>
          <w:sz w:val="22"/>
          <w:szCs w:val="22"/>
        </w:rPr>
        <w:t xml:space="preserve"> </w:t>
      </w:r>
      <w:r w:rsidRPr="00FF0309">
        <w:rPr>
          <w:rFonts w:cs="Arial"/>
          <w:b/>
          <w:sz w:val="22"/>
          <w:szCs w:val="22"/>
        </w:rPr>
        <w:t xml:space="preserve">„Wytycznymi dotyczącymi świadczenia usług maklerskich na rynku OTC instrumentów pochodnych” </w:t>
      </w:r>
      <w:r>
        <w:rPr>
          <w:rFonts w:cs="Arial"/>
          <w:b/>
          <w:sz w:val="22"/>
          <w:szCs w:val="22"/>
        </w:rPr>
        <w:t xml:space="preserve">rodzime </w:t>
      </w:r>
      <w:r w:rsidR="00101193">
        <w:rPr>
          <w:rFonts w:cs="Arial"/>
          <w:b/>
          <w:sz w:val="22"/>
          <w:szCs w:val="22"/>
        </w:rPr>
        <w:t>domy maklerskie</w:t>
      </w:r>
      <w:r w:rsidR="000C4998">
        <w:rPr>
          <w:rFonts w:cs="Arial"/>
          <w:b/>
          <w:sz w:val="22"/>
          <w:szCs w:val="22"/>
        </w:rPr>
        <w:t xml:space="preserve"> o</w:t>
      </w:r>
      <w:r w:rsidR="00101193">
        <w:rPr>
          <w:rFonts w:cs="Arial"/>
          <w:b/>
          <w:sz w:val="22"/>
          <w:szCs w:val="22"/>
        </w:rPr>
        <w:t>publikowa</w:t>
      </w:r>
      <w:r w:rsidR="000C4998">
        <w:rPr>
          <w:rFonts w:cs="Arial"/>
          <w:b/>
          <w:sz w:val="22"/>
          <w:szCs w:val="22"/>
        </w:rPr>
        <w:t>ły</w:t>
      </w:r>
      <w:r w:rsidR="00101193">
        <w:rPr>
          <w:rFonts w:cs="Arial"/>
          <w:b/>
          <w:sz w:val="22"/>
          <w:szCs w:val="22"/>
        </w:rPr>
        <w:t xml:space="preserve"> wynik</w:t>
      </w:r>
      <w:r w:rsidR="000C4998">
        <w:rPr>
          <w:rFonts w:cs="Arial"/>
          <w:b/>
          <w:sz w:val="22"/>
          <w:szCs w:val="22"/>
        </w:rPr>
        <w:t>i</w:t>
      </w:r>
      <w:r w:rsidR="00101193">
        <w:rPr>
          <w:rFonts w:cs="Arial"/>
          <w:b/>
          <w:sz w:val="22"/>
          <w:szCs w:val="22"/>
        </w:rPr>
        <w:t xml:space="preserve"> osiągan</w:t>
      </w:r>
      <w:r w:rsidR="00683185">
        <w:rPr>
          <w:rFonts w:cs="Arial"/>
          <w:b/>
          <w:sz w:val="22"/>
          <w:szCs w:val="22"/>
        </w:rPr>
        <w:t>e</w:t>
      </w:r>
      <w:r w:rsidR="00101193">
        <w:rPr>
          <w:rFonts w:cs="Arial"/>
          <w:b/>
          <w:sz w:val="22"/>
          <w:szCs w:val="22"/>
        </w:rPr>
        <w:t xml:space="preserve"> przez swoich klientów. Dane zebrane przez Izbę Domów Maklerskich </w:t>
      </w:r>
      <w:r w:rsidR="00B2136D">
        <w:rPr>
          <w:rFonts w:cs="Arial"/>
          <w:b/>
          <w:sz w:val="22"/>
          <w:szCs w:val="22"/>
        </w:rPr>
        <w:t>pokazują, że</w:t>
      </w:r>
      <w:r w:rsidR="000C4998">
        <w:rPr>
          <w:rFonts w:cs="Arial"/>
          <w:b/>
          <w:sz w:val="22"/>
          <w:szCs w:val="22"/>
        </w:rPr>
        <w:t xml:space="preserve"> systematycznie wzrasta świadomość inwestorów rynków CFD/</w:t>
      </w:r>
      <w:r w:rsidR="000C4998" w:rsidRPr="000C4998">
        <w:rPr>
          <w:rFonts w:cs="Arial"/>
          <w:b/>
          <w:sz w:val="22"/>
          <w:szCs w:val="22"/>
        </w:rPr>
        <w:t>FX</w:t>
      </w:r>
      <w:r w:rsidR="005F329B">
        <w:rPr>
          <w:rFonts w:cs="Arial"/>
          <w:b/>
          <w:sz w:val="22"/>
          <w:szCs w:val="22"/>
        </w:rPr>
        <w:t>, a ich wyniki nie odbiegają od tych osiąganych przez inwestorów na dojrzałych</w:t>
      </w:r>
      <w:r w:rsidR="00DE3270">
        <w:rPr>
          <w:rFonts w:cs="Arial"/>
          <w:b/>
          <w:sz w:val="22"/>
          <w:szCs w:val="22"/>
        </w:rPr>
        <w:t xml:space="preserve"> rynkach finansowych</w:t>
      </w:r>
      <w:r w:rsidR="005F329B">
        <w:rPr>
          <w:rFonts w:cs="Arial"/>
          <w:b/>
          <w:sz w:val="22"/>
          <w:szCs w:val="22"/>
        </w:rPr>
        <w:t>.</w:t>
      </w:r>
    </w:p>
    <w:p w14:paraId="21B8ACB7" w14:textId="61994F14" w:rsidR="00357BD8" w:rsidRPr="00683185" w:rsidRDefault="00357BD8" w:rsidP="00D52E82">
      <w:pPr>
        <w:spacing w:before="120" w:after="240" w:line="276" w:lineRule="auto"/>
        <w:jc w:val="both"/>
        <w:rPr>
          <w:rFonts w:cs="Arial"/>
          <w:sz w:val="22"/>
          <w:szCs w:val="22"/>
        </w:rPr>
      </w:pPr>
      <w:r w:rsidRPr="00683185">
        <w:rPr>
          <w:rFonts w:cs="Arial"/>
          <w:sz w:val="22"/>
          <w:szCs w:val="22"/>
        </w:rPr>
        <w:t xml:space="preserve">Izba Domów Maklerskich oraz zrzeszone w niej domy maklerskie </w:t>
      </w:r>
      <w:r w:rsidR="000C4998">
        <w:rPr>
          <w:rFonts w:cs="Arial"/>
          <w:sz w:val="22"/>
          <w:szCs w:val="22"/>
        </w:rPr>
        <w:t>kładą</w:t>
      </w:r>
      <w:r w:rsidR="000C4998" w:rsidRPr="00683185">
        <w:rPr>
          <w:rFonts w:cs="Arial"/>
          <w:sz w:val="22"/>
          <w:szCs w:val="22"/>
        </w:rPr>
        <w:t xml:space="preserve"> </w:t>
      </w:r>
      <w:r w:rsidR="003F6232" w:rsidRPr="00683185">
        <w:rPr>
          <w:rFonts w:cs="Arial"/>
          <w:sz w:val="22"/>
          <w:szCs w:val="22"/>
        </w:rPr>
        <w:t xml:space="preserve">duży </w:t>
      </w:r>
      <w:r w:rsidRPr="00683185">
        <w:rPr>
          <w:rFonts w:cs="Arial"/>
          <w:sz w:val="22"/>
          <w:szCs w:val="22"/>
        </w:rPr>
        <w:t>nacisk na rzetelną</w:t>
      </w:r>
      <w:r w:rsidR="000C4998">
        <w:rPr>
          <w:rFonts w:cs="Arial"/>
          <w:sz w:val="22"/>
          <w:szCs w:val="22"/>
        </w:rPr>
        <w:br/>
      </w:r>
      <w:r w:rsidR="0075494C" w:rsidRPr="00683185">
        <w:rPr>
          <w:rFonts w:cs="Arial"/>
          <w:sz w:val="22"/>
          <w:szCs w:val="22"/>
        </w:rPr>
        <w:t xml:space="preserve">i systematyczną </w:t>
      </w:r>
      <w:r w:rsidRPr="00683185">
        <w:rPr>
          <w:rFonts w:cs="Arial"/>
          <w:sz w:val="22"/>
          <w:szCs w:val="22"/>
        </w:rPr>
        <w:t>edukację swoich klientów</w:t>
      </w:r>
      <w:r w:rsidR="00FE2FF8">
        <w:rPr>
          <w:rFonts w:cs="Arial"/>
          <w:sz w:val="22"/>
          <w:szCs w:val="22"/>
        </w:rPr>
        <w:t xml:space="preserve"> oraz transparentność działania</w:t>
      </w:r>
      <w:r w:rsidRPr="00683185">
        <w:rPr>
          <w:rFonts w:cs="Arial"/>
          <w:sz w:val="22"/>
          <w:szCs w:val="22"/>
        </w:rPr>
        <w:t xml:space="preserve">. Kolejne </w:t>
      </w:r>
      <w:r w:rsidR="004B6C57">
        <w:rPr>
          <w:rFonts w:cs="Arial"/>
          <w:sz w:val="22"/>
          <w:szCs w:val="22"/>
        </w:rPr>
        <w:t xml:space="preserve">już </w:t>
      </w:r>
      <w:r w:rsidRPr="00683185">
        <w:rPr>
          <w:rFonts w:cs="Arial"/>
          <w:sz w:val="22"/>
          <w:szCs w:val="22"/>
        </w:rPr>
        <w:t xml:space="preserve">wyniki, wyraźnie wyższe od </w:t>
      </w:r>
      <w:r w:rsidR="004B6C57">
        <w:rPr>
          <w:rFonts w:cs="Arial"/>
          <w:sz w:val="22"/>
          <w:szCs w:val="22"/>
        </w:rPr>
        <w:t xml:space="preserve">dostępnych </w:t>
      </w:r>
      <w:r w:rsidRPr="00683185">
        <w:rPr>
          <w:rFonts w:cs="Arial"/>
          <w:sz w:val="22"/>
          <w:szCs w:val="22"/>
        </w:rPr>
        <w:t>danych</w:t>
      </w:r>
      <w:r w:rsidR="004B6C57">
        <w:rPr>
          <w:rFonts w:cs="Arial"/>
          <w:sz w:val="22"/>
          <w:szCs w:val="22"/>
        </w:rPr>
        <w:t xml:space="preserve"> dotyczących lat </w:t>
      </w:r>
      <w:r w:rsidRPr="00683185">
        <w:rPr>
          <w:rFonts w:cs="Arial"/>
          <w:sz w:val="22"/>
          <w:szCs w:val="22"/>
        </w:rPr>
        <w:t>2013</w:t>
      </w:r>
      <w:r w:rsidR="004B6C57">
        <w:rPr>
          <w:rFonts w:cs="Arial"/>
          <w:sz w:val="22"/>
          <w:szCs w:val="22"/>
        </w:rPr>
        <w:t>-15</w:t>
      </w:r>
      <w:r w:rsidRPr="00683185">
        <w:rPr>
          <w:rFonts w:cs="Arial"/>
          <w:sz w:val="22"/>
          <w:szCs w:val="22"/>
        </w:rPr>
        <w:t xml:space="preserve">, wskazują, że starania rodzimych podmiotów przynoszą wymierne </w:t>
      </w:r>
      <w:r w:rsidR="00683185">
        <w:rPr>
          <w:rFonts w:cs="Arial"/>
          <w:sz w:val="22"/>
          <w:szCs w:val="22"/>
        </w:rPr>
        <w:t xml:space="preserve">efekty </w:t>
      </w:r>
      <w:r w:rsidR="000C4998">
        <w:rPr>
          <w:rFonts w:cs="Arial"/>
          <w:sz w:val="22"/>
          <w:szCs w:val="22"/>
        </w:rPr>
        <w:t>wśród inwestorów zainteresowanych instrumentami o podwyższonym poziomie ryzyka</w:t>
      </w:r>
      <w:r w:rsidRPr="00683185">
        <w:rPr>
          <w:rFonts w:cs="Arial"/>
          <w:sz w:val="22"/>
          <w:szCs w:val="22"/>
        </w:rPr>
        <w:t>.</w:t>
      </w:r>
    </w:p>
    <w:p w14:paraId="44C69E94" w14:textId="3521B866" w:rsidR="005B26C6" w:rsidRPr="005B26C6" w:rsidRDefault="003A4D29" w:rsidP="00D52E82">
      <w:pPr>
        <w:spacing w:before="120" w:after="240" w:line="276" w:lineRule="auto"/>
        <w:jc w:val="both"/>
        <w:rPr>
          <w:rFonts w:cs="Arial"/>
          <w:sz w:val="22"/>
          <w:szCs w:val="22"/>
        </w:rPr>
      </w:pPr>
      <w:r w:rsidRPr="00FE6511">
        <w:rPr>
          <w:rFonts w:cs="Arial"/>
          <w:sz w:val="22"/>
          <w:szCs w:val="22"/>
        </w:rPr>
        <w:t>Podobnie jak w poprzednim okresie, tak w</w:t>
      </w:r>
      <w:r w:rsidR="0071686B" w:rsidRPr="00FE6511">
        <w:rPr>
          <w:rFonts w:cs="Arial"/>
          <w:sz w:val="22"/>
          <w:szCs w:val="22"/>
        </w:rPr>
        <w:t xml:space="preserve"> IV kwartale ub.r. </w:t>
      </w:r>
      <w:r w:rsidR="00D52674">
        <w:rPr>
          <w:rFonts w:cs="Arial"/>
          <w:sz w:val="22"/>
          <w:szCs w:val="22"/>
        </w:rPr>
        <w:t xml:space="preserve">największy </w:t>
      </w:r>
      <w:r w:rsidR="00187051">
        <w:rPr>
          <w:rFonts w:cs="Arial"/>
          <w:sz w:val="22"/>
          <w:szCs w:val="22"/>
        </w:rPr>
        <w:t>odsetek</w:t>
      </w:r>
      <w:r w:rsidR="00D52674">
        <w:rPr>
          <w:rFonts w:cs="Arial"/>
          <w:sz w:val="22"/>
          <w:szCs w:val="22"/>
        </w:rPr>
        <w:t xml:space="preserve"> aktywnych inwestorów </w:t>
      </w:r>
      <w:r w:rsidR="00C7788D">
        <w:rPr>
          <w:rFonts w:cs="Arial"/>
          <w:sz w:val="22"/>
          <w:szCs w:val="22"/>
        </w:rPr>
        <w:t>(52,</w:t>
      </w:r>
      <w:r w:rsidR="00187051">
        <w:rPr>
          <w:rFonts w:cs="Arial"/>
          <w:sz w:val="22"/>
          <w:szCs w:val="22"/>
        </w:rPr>
        <w:t xml:space="preserve">2%) osiągał </w:t>
      </w:r>
      <w:r w:rsidR="00BB5729" w:rsidRPr="00FE6511">
        <w:rPr>
          <w:rFonts w:cs="Arial"/>
          <w:sz w:val="22"/>
          <w:szCs w:val="22"/>
        </w:rPr>
        <w:t>zyski na transakcjach</w:t>
      </w:r>
      <w:r w:rsidRPr="00FE6511">
        <w:rPr>
          <w:rFonts w:cs="Arial"/>
          <w:sz w:val="22"/>
          <w:szCs w:val="22"/>
        </w:rPr>
        <w:t xml:space="preserve"> na rynku kontraktów </w:t>
      </w:r>
      <w:r w:rsidR="00187051">
        <w:rPr>
          <w:rFonts w:cs="Arial"/>
          <w:sz w:val="22"/>
          <w:szCs w:val="22"/>
        </w:rPr>
        <w:t xml:space="preserve">na </w:t>
      </w:r>
      <w:r w:rsidR="00BB5729" w:rsidRPr="00FE6511">
        <w:rPr>
          <w:rFonts w:cs="Arial"/>
          <w:sz w:val="22"/>
          <w:szCs w:val="22"/>
        </w:rPr>
        <w:t>obligacje oraz stopy procentowe</w:t>
      </w:r>
      <w:r w:rsidRPr="00FE6511">
        <w:rPr>
          <w:rFonts w:cs="Arial"/>
          <w:sz w:val="22"/>
          <w:szCs w:val="22"/>
        </w:rPr>
        <w:t xml:space="preserve"> (ang. Bond/Interest Rate CFD)</w:t>
      </w:r>
      <w:r w:rsidR="00187051">
        <w:rPr>
          <w:rFonts w:cs="Arial"/>
          <w:sz w:val="22"/>
          <w:szCs w:val="22"/>
        </w:rPr>
        <w:t>.</w:t>
      </w:r>
      <w:r w:rsidR="00E12088" w:rsidRPr="00FE6511">
        <w:rPr>
          <w:rFonts w:cs="Arial"/>
          <w:sz w:val="22"/>
          <w:szCs w:val="22"/>
        </w:rPr>
        <w:t xml:space="preserve"> R</w:t>
      </w:r>
      <w:r w:rsidR="00683185" w:rsidRPr="00FE6511">
        <w:rPr>
          <w:rFonts w:cs="Arial"/>
          <w:sz w:val="22"/>
          <w:szCs w:val="22"/>
        </w:rPr>
        <w:t xml:space="preserve">ównie wysoko, bo na poziomie </w:t>
      </w:r>
      <w:r w:rsidR="00C7788D">
        <w:rPr>
          <w:rFonts w:cs="Arial"/>
          <w:sz w:val="22"/>
          <w:szCs w:val="22"/>
        </w:rPr>
        <w:t>ok.</w:t>
      </w:r>
      <w:r w:rsidR="00E12088" w:rsidRPr="00FE6511">
        <w:rPr>
          <w:rFonts w:cs="Arial"/>
          <w:sz w:val="22"/>
          <w:szCs w:val="22"/>
        </w:rPr>
        <w:t xml:space="preserve"> </w:t>
      </w:r>
      <w:r w:rsidR="00683185" w:rsidRPr="00FE6511">
        <w:rPr>
          <w:rFonts w:cs="Arial"/>
          <w:sz w:val="22"/>
          <w:szCs w:val="22"/>
        </w:rPr>
        <w:t>35</w:t>
      </w:r>
      <w:r w:rsidR="00E12088" w:rsidRPr="00FE6511">
        <w:rPr>
          <w:rFonts w:cs="Arial"/>
          <w:sz w:val="22"/>
          <w:szCs w:val="22"/>
        </w:rPr>
        <w:t xml:space="preserve">% zyskujących inwestorów, utrzymywały się wyniki </w:t>
      </w:r>
      <w:r w:rsidR="00187051">
        <w:rPr>
          <w:rFonts w:cs="Arial"/>
          <w:sz w:val="22"/>
          <w:szCs w:val="22"/>
        </w:rPr>
        <w:t>realizowane na transakcjach pochodnych na</w:t>
      </w:r>
      <w:r w:rsidR="002E22CE" w:rsidRPr="00FE6511">
        <w:rPr>
          <w:rFonts w:cs="Arial"/>
          <w:sz w:val="22"/>
          <w:szCs w:val="22"/>
        </w:rPr>
        <w:t xml:space="preserve"> indeksy</w:t>
      </w:r>
      <w:r w:rsidR="00187051">
        <w:rPr>
          <w:rFonts w:cs="Arial"/>
          <w:sz w:val="22"/>
          <w:szCs w:val="22"/>
        </w:rPr>
        <w:t xml:space="preserve"> giełdowe</w:t>
      </w:r>
      <w:r w:rsidR="00E12088" w:rsidRPr="00FE6511">
        <w:rPr>
          <w:rFonts w:cs="Arial"/>
          <w:sz w:val="22"/>
          <w:szCs w:val="22"/>
        </w:rPr>
        <w:t xml:space="preserve"> (ang. Index CFD) </w:t>
      </w:r>
      <w:r w:rsidR="0055617D" w:rsidRPr="00FE6511">
        <w:rPr>
          <w:rFonts w:cs="Arial"/>
          <w:sz w:val="22"/>
          <w:szCs w:val="22"/>
        </w:rPr>
        <w:t>oraz walut</w:t>
      </w:r>
      <w:r w:rsidR="002E22CE" w:rsidRPr="00FE6511">
        <w:rPr>
          <w:rFonts w:cs="Arial"/>
          <w:sz w:val="22"/>
          <w:szCs w:val="22"/>
        </w:rPr>
        <w:t>y</w:t>
      </w:r>
      <w:r w:rsidR="00187051">
        <w:rPr>
          <w:rFonts w:cs="Arial"/>
          <w:sz w:val="22"/>
          <w:szCs w:val="22"/>
        </w:rPr>
        <w:t xml:space="preserve"> </w:t>
      </w:r>
      <w:r w:rsidR="00F00DD4" w:rsidRPr="00FE6511">
        <w:rPr>
          <w:rFonts w:cs="Arial"/>
          <w:sz w:val="22"/>
          <w:szCs w:val="22"/>
        </w:rPr>
        <w:t>(ang. Forex CFD). W obszarze</w:t>
      </w:r>
      <w:r w:rsidR="005B26C6" w:rsidRPr="00FE6511">
        <w:rPr>
          <w:rFonts w:cs="Arial"/>
          <w:sz w:val="22"/>
          <w:szCs w:val="22"/>
        </w:rPr>
        <w:t xml:space="preserve"> inwestycji na towary (ang. Commodity CFD) odsetek zarabiających w IV kwartale wyniósł </w:t>
      </w:r>
      <w:r w:rsidR="00FE6511" w:rsidRPr="00FE6511">
        <w:rPr>
          <w:rFonts w:cs="Arial"/>
          <w:sz w:val="22"/>
          <w:szCs w:val="22"/>
        </w:rPr>
        <w:t>35,8</w:t>
      </w:r>
      <w:r w:rsidR="005B26C6" w:rsidRPr="00FE6511">
        <w:rPr>
          <w:rFonts w:cs="Arial"/>
          <w:sz w:val="22"/>
          <w:szCs w:val="22"/>
        </w:rPr>
        <w:t xml:space="preserve">%, a w </w:t>
      </w:r>
      <w:r w:rsidR="00187051">
        <w:rPr>
          <w:rFonts w:cs="Arial"/>
          <w:sz w:val="22"/>
          <w:szCs w:val="22"/>
        </w:rPr>
        <w:t xml:space="preserve">kontraktach na </w:t>
      </w:r>
      <w:r w:rsidR="00C7788D">
        <w:rPr>
          <w:rFonts w:cs="Arial"/>
          <w:sz w:val="22"/>
          <w:szCs w:val="22"/>
        </w:rPr>
        <w:t xml:space="preserve">akcje </w:t>
      </w:r>
      <w:r w:rsidR="005B26C6" w:rsidRPr="00FE6511">
        <w:rPr>
          <w:rFonts w:cs="Arial"/>
          <w:sz w:val="22"/>
          <w:szCs w:val="22"/>
        </w:rPr>
        <w:t xml:space="preserve">(ang. Equity CFD) </w:t>
      </w:r>
      <w:r w:rsidR="00C7788D">
        <w:rPr>
          <w:rFonts w:cs="Arial"/>
          <w:sz w:val="22"/>
          <w:szCs w:val="22"/>
        </w:rPr>
        <w:t>32</w:t>
      </w:r>
      <w:bookmarkStart w:id="0" w:name="_GoBack"/>
      <w:bookmarkEnd w:id="0"/>
      <w:r w:rsidR="00FE6511" w:rsidRPr="00FE6511">
        <w:rPr>
          <w:rFonts w:cs="Arial"/>
          <w:sz w:val="22"/>
          <w:szCs w:val="22"/>
        </w:rPr>
        <w:t>,4</w:t>
      </w:r>
      <w:r w:rsidR="005B26C6" w:rsidRPr="00FE6511">
        <w:rPr>
          <w:rFonts w:cs="Arial"/>
          <w:sz w:val="22"/>
          <w:szCs w:val="22"/>
        </w:rPr>
        <w:t>%.</w:t>
      </w:r>
    </w:p>
    <w:tbl>
      <w:tblPr>
        <w:tblW w:w="0" w:type="auto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92"/>
        <w:gridCol w:w="2255"/>
      </w:tblGrid>
      <w:tr w:rsidR="00CA1C95" w:rsidRPr="005B26C6" w14:paraId="0856A6A3" w14:textId="77777777" w:rsidTr="00D52E82">
        <w:trPr>
          <w:trHeight w:val="487"/>
          <w:jc w:val="center"/>
        </w:trPr>
        <w:tc>
          <w:tcPr>
            <w:tcW w:w="2977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bottom"/>
          </w:tcPr>
          <w:p w14:paraId="12BE7327" w14:textId="77777777" w:rsidR="00CA1C95" w:rsidRPr="005B26C6" w:rsidRDefault="00CA1C95" w:rsidP="00D52E82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jc w:val="center"/>
              <w:rPr>
                <w:rFonts w:cs="Arial"/>
                <w:sz w:val="22"/>
                <w:szCs w:val="23"/>
              </w:rPr>
            </w:pPr>
          </w:p>
        </w:tc>
        <w:tc>
          <w:tcPr>
            <w:tcW w:w="2192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center"/>
          </w:tcPr>
          <w:p w14:paraId="2F545B69" w14:textId="77777777" w:rsidR="00CA1C95" w:rsidRPr="005B26C6" w:rsidRDefault="00CA1C95" w:rsidP="00D52E82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jc w:val="center"/>
              <w:rPr>
                <w:rFonts w:cs="Arial"/>
                <w:sz w:val="22"/>
                <w:szCs w:val="23"/>
              </w:rPr>
            </w:pPr>
            <w:r w:rsidRPr="005B26C6">
              <w:rPr>
                <w:rFonts w:cs="Arial"/>
                <w:b/>
                <w:bCs/>
                <w:sz w:val="22"/>
                <w:szCs w:val="23"/>
              </w:rPr>
              <w:t>Zarabiający</w:t>
            </w:r>
          </w:p>
        </w:tc>
        <w:tc>
          <w:tcPr>
            <w:tcW w:w="2255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center"/>
          </w:tcPr>
          <w:p w14:paraId="5243A67B" w14:textId="77777777" w:rsidR="00CA1C95" w:rsidRPr="005B26C6" w:rsidRDefault="00CA1C95" w:rsidP="00D52E82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jc w:val="center"/>
              <w:rPr>
                <w:rFonts w:cs="Arial"/>
                <w:sz w:val="22"/>
                <w:szCs w:val="23"/>
              </w:rPr>
            </w:pPr>
            <w:r w:rsidRPr="005B26C6">
              <w:rPr>
                <w:rFonts w:cs="Arial"/>
                <w:b/>
                <w:bCs/>
                <w:sz w:val="22"/>
                <w:szCs w:val="23"/>
              </w:rPr>
              <w:t>Tracący</w:t>
            </w:r>
          </w:p>
        </w:tc>
      </w:tr>
      <w:tr w:rsidR="00CA1C95" w:rsidRPr="005B26C6" w14:paraId="7A69FC6D" w14:textId="77777777" w:rsidTr="00683185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77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bottom"/>
          </w:tcPr>
          <w:p w14:paraId="7F43688B" w14:textId="77777777" w:rsidR="00CA1C95" w:rsidRPr="005B26C6" w:rsidRDefault="00CA1C95" w:rsidP="00D52E82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rPr>
                <w:rFonts w:cs="Arial"/>
                <w:sz w:val="22"/>
                <w:szCs w:val="23"/>
              </w:rPr>
            </w:pPr>
            <w:r w:rsidRPr="005B26C6">
              <w:rPr>
                <w:rFonts w:cs="Arial"/>
                <w:sz w:val="22"/>
                <w:szCs w:val="23"/>
              </w:rPr>
              <w:t>Bond/Interest Rate CFD***</w:t>
            </w:r>
          </w:p>
        </w:tc>
        <w:tc>
          <w:tcPr>
            <w:tcW w:w="2192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center"/>
          </w:tcPr>
          <w:p w14:paraId="580E9894" w14:textId="2394B321" w:rsidR="00CA1C95" w:rsidRPr="005B26C6" w:rsidRDefault="00C7788D" w:rsidP="00683185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jc w:val="center"/>
              <w:rPr>
                <w:rFonts w:cs="Arial"/>
                <w:sz w:val="22"/>
                <w:szCs w:val="23"/>
              </w:rPr>
            </w:pPr>
            <w:r>
              <w:rPr>
                <w:rFonts w:cs="Arial"/>
                <w:sz w:val="22"/>
                <w:szCs w:val="23"/>
              </w:rPr>
              <w:t>5</w:t>
            </w:r>
            <w:r w:rsidR="00683185">
              <w:rPr>
                <w:rFonts w:cs="Arial"/>
                <w:sz w:val="22"/>
                <w:szCs w:val="23"/>
              </w:rPr>
              <w:t>2</w:t>
            </w:r>
            <w:r>
              <w:rPr>
                <w:rFonts w:cs="Arial"/>
                <w:sz w:val="22"/>
                <w:szCs w:val="23"/>
              </w:rPr>
              <w:t>,2</w:t>
            </w:r>
            <w:r w:rsidR="00683185">
              <w:rPr>
                <w:rFonts w:cs="Arial"/>
                <w:sz w:val="22"/>
                <w:szCs w:val="23"/>
              </w:rPr>
              <w:t>%</w:t>
            </w:r>
          </w:p>
        </w:tc>
        <w:tc>
          <w:tcPr>
            <w:tcW w:w="2255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center"/>
          </w:tcPr>
          <w:p w14:paraId="430037D0" w14:textId="55BBEE14" w:rsidR="00CA1C95" w:rsidRPr="005B26C6" w:rsidRDefault="00C7788D" w:rsidP="00683185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jc w:val="center"/>
              <w:rPr>
                <w:rFonts w:cs="Arial"/>
                <w:sz w:val="22"/>
                <w:szCs w:val="23"/>
              </w:rPr>
            </w:pPr>
            <w:r>
              <w:rPr>
                <w:rFonts w:cs="Arial"/>
                <w:sz w:val="22"/>
                <w:szCs w:val="23"/>
              </w:rPr>
              <w:t>47,1</w:t>
            </w:r>
            <w:r w:rsidR="00683185">
              <w:rPr>
                <w:rFonts w:cs="Arial"/>
                <w:sz w:val="22"/>
                <w:szCs w:val="23"/>
              </w:rPr>
              <w:t>%</w:t>
            </w:r>
          </w:p>
        </w:tc>
      </w:tr>
      <w:tr w:rsidR="00CA1C95" w:rsidRPr="005B26C6" w14:paraId="2E61E71F" w14:textId="77777777" w:rsidTr="00683185">
        <w:tblPrEx>
          <w:tblBorders>
            <w:top w:val="none" w:sz="0" w:space="0" w:color="auto"/>
          </w:tblBorders>
        </w:tblPrEx>
        <w:trPr>
          <w:trHeight w:val="541"/>
          <w:jc w:val="center"/>
        </w:trPr>
        <w:tc>
          <w:tcPr>
            <w:tcW w:w="2977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bottom"/>
          </w:tcPr>
          <w:p w14:paraId="4F05E7F2" w14:textId="77777777" w:rsidR="00CA1C95" w:rsidRPr="005B26C6" w:rsidRDefault="00CA1C95" w:rsidP="00D52E82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rPr>
                <w:rFonts w:cs="Arial"/>
                <w:sz w:val="22"/>
                <w:szCs w:val="23"/>
              </w:rPr>
            </w:pPr>
            <w:r w:rsidRPr="005B26C6">
              <w:rPr>
                <w:rFonts w:cs="Arial"/>
                <w:sz w:val="22"/>
                <w:szCs w:val="23"/>
              </w:rPr>
              <w:t>Commodity CFD</w:t>
            </w:r>
          </w:p>
        </w:tc>
        <w:tc>
          <w:tcPr>
            <w:tcW w:w="2192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center"/>
          </w:tcPr>
          <w:p w14:paraId="309FFC9E" w14:textId="77777777" w:rsidR="00CA1C95" w:rsidRPr="005B26C6" w:rsidRDefault="00683185" w:rsidP="00683185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jc w:val="center"/>
              <w:rPr>
                <w:rFonts w:cs="Arial"/>
                <w:sz w:val="22"/>
                <w:szCs w:val="23"/>
              </w:rPr>
            </w:pPr>
            <w:r>
              <w:rPr>
                <w:rFonts w:cs="Arial"/>
                <w:sz w:val="22"/>
                <w:szCs w:val="23"/>
              </w:rPr>
              <w:t>35,8%</w:t>
            </w:r>
          </w:p>
        </w:tc>
        <w:tc>
          <w:tcPr>
            <w:tcW w:w="2255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center"/>
          </w:tcPr>
          <w:p w14:paraId="04AAFABD" w14:textId="77777777" w:rsidR="00CA1C95" w:rsidRPr="005B26C6" w:rsidRDefault="00683185" w:rsidP="00683185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jc w:val="center"/>
              <w:rPr>
                <w:rFonts w:cs="Arial"/>
                <w:sz w:val="22"/>
                <w:szCs w:val="23"/>
              </w:rPr>
            </w:pPr>
            <w:r>
              <w:rPr>
                <w:rFonts w:cs="Arial"/>
                <w:sz w:val="22"/>
                <w:szCs w:val="23"/>
              </w:rPr>
              <w:t>64,1%</w:t>
            </w:r>
          </w:p>
        </w:tc>
      </w:tr>
      <w:tr w:rsidR="00CA1C95" w:rsidRPr="005B26C6" w14:paraId="67B6F9F1" w14:textId="77777777" w:rsidTr="00683185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77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bottom"/>
          </w:tcPr>
          <w:p w14:paraId="7CEC6E85" w14:textId="77777777" w:rsidR="00CA1C95" w:rsidRPr="005B26C6" w:rsidRDefault="00CA1C95" w:rsidP="00D52E82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rPr>
                <w:rFonts w:cs="Arial"/>
                <w:sz w:val="22"/>
                <w:szCs w:val="23"/>
              </w:rPr>
            </w:pPr>
            <w:r w:rsidRPr="005B26C6">
              <w:rPr>
                <w:rFonts w:cs="Arial"/>
                <w:sz w:val="22"/>
                <w:szCs w:val="23"/>
              </w:rPr>
              <w:t>Equity CFD</w:t>
            </w:r>
          </w:p>
        </w:tc>
        <w:tc>
          <w:tcPr>
            <w:tcW w:w="2192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center"/>
          </w:tcPr>
          <w:p w14:paraId="1558D17D" w14:textId="6F490291" w:rsidR="00CA1C95" w:rsidRPr="005B26C6" w:rsidRDefault="00C7788D" w:rsidP="00683185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jc w:val="center"/>
              <w:rPr>
                <w:rFonts w:cs="Arial"/>
                <w:sz w:val="22"/>
                <w:szCs w:val="23"/>
              </w:rPr>
            </w:pPr>
            <w:r>
              <w:rPr>
                <w:rFonts w:cs="Arial"/>
                <w:sz w:val="22"/>
                <w:szCs w:val="23"/>
              </w:rPr>
              <w:t>32</w:t>
            </w:r>
            <w:r w:rsidR="00683185">
              <w:rPr>
                <w:rFonts w:cs="Arial"/>
                <w:sz w:val="22"/>
                <w:szCs w:val="23"/>
              </w:rPr>
              <w:t>,4%</w:t>
            </w:r>
          </w:p>
        </w:tc>
        <w:tc>
          <w:tcPr>
            <w:tcW w:w="2255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center"/>
          </w:tcPr>
          <w:p w14:paraId="0B6974EA" w14:textId="165ACCCA" w:rsidR="00CA1C95" w:rsidRPr="005B26C6" w:rsidRDefault="00C7788D" w:rsidP="00683185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jc w:val="center"/>
              <w:rPr>
                <w:rFonts w:cs="Arial"/>
                <w:sz w:val="22"/>
                <w:szCs w:val="23"/>
              </w:rPr>
            </w:pPr>
            <w:r>
              <w:rPr>
                <w:rFonts w:cs="Arial"/>
                <w:sz w:val="22"/>
                <w:szCs w:val="23"/>
              </w:rPr>
              <w:t>67,1</w:t>
            </w:r>
            <w:r w:rsidR="00683185">
              <w:rPr>
                <w:rFonts w:cs="Arial"/>
                <w:sz w:val="22"/>
                <w:szCs w:val="23"/>
              </w:rPr>
              <w:t>%</w:t>
            </w:r>
          </w:p>
        </w:tc>
      </w:tr>
      <w:tr w:rsidR="00CA1C95" w:rsidRPr="005B26C6" w14:paraId="5A1BC4A6" w14:textId="77777777" w:rsidTr="00683185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77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bottom"/>
          </w:tcPr>
          <w:p w14:paraId="719F7095" w14:textId="77777777" w:rsidR="00CA1C95" w:rsidRPr="005B26C6" w:rsidRDefault="00CA1C95" w:rsidP="00D52E82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rPr>
                <w:rFonts w:cs="Arial"/>
                <w:sz w:val="22"/>
                <w:szCs w:val="23"/>
              </w:rPr>
            </w:pPr>
            <w:r w:rsidRPr="005B26C6">
              <w:rPr>
                <w:rFonts w:cs="Arial"/>
                <w:sz w:val="22"/>
                <w:szCs w:val="23"/>
              </w:rPr>
              <w:t>Forex CFD</w:t>
            </w:r>
          </w:p>
        </w:tc>
        <w:tc>
          <w:tcPr>
            <w:tcW w:w="2192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center"/>
          </w:tcPr>
          <w:p w14:paraId="0CAF02C3" w14:textId="0679F6A3" w:rsidR="00CA1C95" w:rsidRPr="005B26C6" w:rsidRDefault="00C7788D" w:rsidP="00683185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jc w:val="center"/>
              <w:rPr>
                <w:rFonts w:cs="Arial"/>
                <w:sz w:val="22"/>
                <w:szCs w:val="23"/>
              </w:rPr>
            </w:pPr>
            <w:r>
              <w:rPr>
                <w:rFonts w:cs="Arial"/>
                <w:sz w:val="22"/>
                <w:szCs w:val="23"/>
              </w:rPr>
              <w:t>34</w:t>
            </w:r>
            <w:r w:rsidR="00683185">
              <w:rPr>
                <w:rFonts w:cs="Arial"/>
                <w:sz w:val="22"/>
                <w:szCs w:val="23"/>
              </w:rPr>
              <w:t>,5%</w:t>
            </w:r>
          </w:p>
        </w:tc>
        <w:tc>
          <w:tcPr>
            <w:tcW w:w="2255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center"/>
          </w:tcPr>
          <w:p w14:paraId="3109A56B" w14:textId="1A65BAAA" w:rsidR="00CA1C95" w:rsidRPr="005B26C6" w:rsidRDefault="00C7788D" w:rsidP="00683185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jc w:val="center"/>
              <w:rPr>
                <w:rFonts w:cs="Arial"/>
                <w:sz w:val="22"/>
                <w:szCs w:val="23"/>
              </w:rPr>
            </w:pPr>
            <w:r>
              <w:rPr>
                <w:rFonts w:cs="Arial"/>
                <w:sz w:val="22"/>
                <w:szCs w:val="23"/>
              </w:rPr>
              <w:t>65,5</w:t>
            </w:r>
            <w:r w:rsidR="00683185">
              <w:rPr>
                <w:rFonts w:cs="Arial"/>
                <w:sz w:val="22"/>
                <w:szCs w:val="23"/>
              </w:rPr>
              <w:t>%</w:t>
            </w:r>
          </w:p>
        </w:tc>
      </w:tr>
      <w:tr w:rsidR="00CA1C95" w:rsidRPr="005B26C6" w14:paraId="10B1471E" w14:textId="77777777" w:rsidTr="00683185">
        <w:trPr>
          <w:jc w:val="center"/>
        </w:trPr>
        <w:tc>
          <w:tcPr>
            <w:tcW w:w="2977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bottom"/>
          </w:tcPr>
          <w:p w14:paraId="7653F8C8" w14:textId="77777777" w:rsidR="00CA1C95" w:rsidRPr="005B26C6" w:rsidRDefault="00CA1C95" w:rsidP="00D52E82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rPr>
                <w:rFonts w:cs="Arial"/>
                <w:sz w:val="22"/>
                <w:szCs w:val="23"/>
              </w:rPr>
            </w:pPr>
            <w:r w:rsidRPr="005B26C6">
              <w:rPr>
                <w:rFonts w:cs="Arial"/>
                <w:sz w:val="22"/>
                <w:szCs w:val="23"/>
              </w:rPr>
              <w:t>Index CFD</w:t>
            </w:r>
          </w:p>
        </w:tc>
        <w:tc>
          <w:tcPr>
            <w:tcW w:w="2192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center"/>
          </w:tcPr>
          <w:p w14:paraId="0E7C00C1" w14:textId="3E2C22F3" w:rsidR="00CA1C95" w:rsidRPr="005B26C6" w:rsidRDefault="00C7788D" w:rsidP="00683185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jc w:val="center"/>
              <w:rPr>
                <w:rFonts w:cs="Arial"/>
                <w:sz w:val="22"/>
                <w:szCs w:val="23"/>
              </w:rPr>
            </w:pPr>
            <w:r>
              <w:rPr>
                <w:rFonts w:cs="Arial"/>
                <w:sz w:val="22"/>
                <w:szCs w:val="23"/>
              </w:rPr>
              <w:t>38</w:t>
            </w:r>
            <w:r w:rsidR="00683185">
              <w:rPr>
                <w:rFonts w:cs="Arial"/>
                <w:sz w:val="22"/>
                <w:szCs w:val="23"/>
              </w:rPr>
              <w:t>,7%</w:t>
            </w:r>
          </w:p>
        </w:tc>
        <w:tc>
          <w:tcPr>
            <w:tcW w:w="2255" w:type="dxa"/>
            <w:tcBorders>
              <w:top w:val="single" w:sz="4" w:space="0" w:color="232B50"/>
              <w:left w:val="single" w:sz="4" w:space="0" w:color="232B50"/>
              <w:bottom w:val="single" w:sz="4" w:space="0" w:color="232B50"/>
              <w:right w:val="single" w:sz="4" w:space="0" w:color="232B50"/>
            </w:tcBorders>
            <w:tcMar>
              <w:top w:w="93" w:type="nil"/>
              <w:right w:w="93" w:type="nil"/>
            </w:tcMar>
            <w:vAlign w:val="center"/>
          </w:tcPr>
          <w:p w14:paraId="46359566" w14:textId="50B26C53" w:rsidR="00CA1C95" w:rsidRPr="005B26C6" w:rsidRDefault="00C7788D" w:rsidP="00683185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jc w:val="center"/>
              <w:rPr>
                <w:rFonts w:cs="Arial"/>
                <w:sz w:val="22"/>
                <w:szCs w:val="23"/>
              </w:rPr>
            </w:pPr>
            <w:r>
              <w:rPr>
                <w:rFonts w:cs="Arial"/>
                <w:sz w:val="22"/>
                <w:szCs w:val="23"/>
              </w:rPr>
              <w:t>61,2</w:t>
            </w:r>
            <w:r w:rsidR="00683185">
              <w:rPr>
                <w:rFonts w:cs="Arial"/>
                <w:sz w:val="22"/>
                <w:szCs w:val="23"/>
              </w:rPr>
              <w:t>%</w:t>
            </w:r>
          </w:p>
        </w:tc>
      </w:tr>
    </w:tbl>
    <w:p w14:paraId="7C02144D" w14:textId="77777777" w:rsidR="005B26C6" w:rsidRPr="005B26C6" w:rsidRDefault="005B26C6" w:rsidP="000C4998">
      <w:pPr>
        <w:spacing w:before="120" w:after="120"/>
        <w:ind w:left="1134" w:hanging="285"/>
        <w:jc w:val="both"/>
        <w:rPr>
          <w:rFonts w:cs="Arial"/>
          <w:color w:val="000000" w:themeColor="text1"/>
          <w:sz w:val="20"/>
          <w:szCs w:val="20"/>
        </w:rPr>
      </w:pPr>
      <w:r w:rsidRPr="005B26C6">
        <w:rPr>
          <w:rFonts w:cs="Arial"/>
          <w:color w:val="000000" w:themeColor="text1"/>
          <w:sz w:val="20"/>
          <w:szCs w:val="20"/>
        </w:rPr>
        <w:t>*  dane bez rachunków, dla których nie wykazano ani zysku</w:t>
      </w:r>
      <w:r w:rsidR="00540452">
        <w:rPr>
          <w:rFonts w:cs="Arial"/>
          <w:color w:val="000000" w:themeColor="text1"/>
          <w:sz w:val="20"/>
          <w:szCs w:val="20"/>
        </w:rPr>
        <w:t>,</w:t>
      </w:r>
      <w:r w:rsidRPr="005B26C6">
        <w:rPr>
          <w:rFonts w:cs="Arial"/>
          <w:color w:val="000000" w:themeColor="text1"/>
          <w:sz w:val="20"/>
          <w:szCs w:val="20"/>
        </w:rPr>
        <w:t xml:space="preserve"> ani straty</w:t>
      </w:r>
    </w:p>
    <w:p w14:paraId="76D1B5F8" w14:textId="77777777" w:rsidR="005B26C6" w:rsidRPr="005B26C6" w:rsidRDefault="005B26C6" w:rsidP="000C4998">
      <w:pPr>
        <w:spacing w:before="120" w:after="120"/>
        <w:ind w:left="1134" w:hanging="285"/>
        <w:jc w:val="both"/>
        <w:rPr>
          <w:rFonts w:cs="Arial"/>
          <w:color w:val="000000" w:themeColor="text1"/>
          <w:sz w:val="20"/>
          <w:szCs w:val="20"/>
        </w:rPr>
      </w:pPr>
      <w:r w:rsidRPr="005B26C6">
        <w:rPr>
          <w:rFonts w:cs="Arial"/>
          <w:color w:val="000000" w:themeColor="text1"/>
          <w:sz w:val="20"/>
          <w:szCs w:val="20"/>
        </w:rPr>
        <w:lastRenderedPageBreak/>
        <w:t>** średnia arytmetyczna dla klientów X-Trade Brokers DM S.A., DM TMS Brokers S.A. i DM BOŚ S.A. (domy maklerskie z siedzibą w Polsce posiadające licencje wydane przez KNF) dla klientów</w:t>
      </w:r>
      <w:r w:rsidR="009768B1">
        <w:rPr>
          <w:rFonts w:cs="Arial"/>
          <w:color w:val="000000" w:themeColor="text1"/>
          <w:sz w:val="20"/>
          <w:szCs w:val="20"/>
        </w:rPr>
        <w:t>,</w:t>
      </w:r>
      <w:r w:rsidRPr="005B26C6">
        <w:rPr>
          <w:rFonts w:cs="Arial"/>
          <w:color w:val="000000" w:themeColor="text1"/>
          <w:sz w:val="20"/>
          <w:szCs w:val="20"/>
        </w:rPr>
        <w:t xml:space="preserve"> którzy podpisali umowy na terytorium Polski</w:t>
      </w:r>
    </w:p>
    <w:p w14:paraId="663EEFCA" w14:textId="77777777" w:rsidR="00CA1C95" w:rsidRPr="005B26C6" w:rsidRDefault="005B26C6" w:rsidP="00FE6511">
      <w:pPr>
        <w:spacing w:before="120" w:after="240" w:line="276" w:lineRule="auto"/>
        <w:ind w:left="851"/>
        <w:jc w:val="both"/>
        <w:rPr>
          <w:rFonts w:cs="Arial"/>
          <w:color w:val="000000" w:themeColor="text1"/>
          <w:sz w:val="20"/>
          <w:szCs w:val="20"/>
        </w:rPr>
      </w:pPr>
      <w:r w:rsidRPr="005B26C6">
        <w:rPr>
          <w:rFonts w:cs="Arial"/>
          <w:color w:val="000000" w:themeColor="text1"/>
          <w:sz w:val="20"/>
          <w:szCs w:val="20"/>
        </w:rPr>
        <w:t>*** terminologia wg standardu opracowanego przez KNF</w:t>
      </w:r>
    </w:p>
    <w:p w14:paraId="17820C99" w14:textId="31CF672F" w:rsidR="008A6723" w:rsidRPr="00D52E82" w:rsidRDefault="008A6723" w:rsidP="008A6723">
      <w:pPr>
        <w:spacing w:before="120" w:after="240" w:line="276" w:lineRule="auto"/>
        <w:jc w:val="both"/>
        <w:rPr>
          <w:rFonts w:cs="Arial"/>
          <w:i/>
          <w:sz w:val="22"/>
          <w:szCs w:val="22"/>
        </w:rPr>
      </w:pPr>
      <w:r w:rsidRPr="00CA0F77">
        <w:rPr>
          <w:rFonts w:cs="Arial"/>
          <w:sz w:val="22"/>
          <w:szCs w:val="22"/>
        </w:rPr>
        <w:t>Wyniki osiągane przez inwestorów na rynku usług CFD/FX charakteryzują się zmiennością, co może powodować wahania wyników na przełomie kwartałów na poziomie kilku punktów procentowych.</w:t>
      </w:r>
      <w:r>
        <w:rPr>
          <w:rFonts w:cs="Arial"/>
          <w:i/>
          <w:sz w:val="22"/>
          <w:szCs w:val="22"/>
        </w:rPr>
        <w:t xml:space="preserve"> Należy pamiętać, że </w:t>
      </w:r>
      <w:r w:rsidR="004B6C57" w:rsidRPr="004B6C57">
        <w:rPr>
          <w:rFonts w:cs="Times New Roman"/>
          <w:sz w:val="22"/>
          <w:szCs w:val="22"/>
        </w:rPr>
        <w:t xml:space="preserve">kluczowym czynnikiem kształtującym wyniki klientów jest zmienność rynkowa </w:t>
      </w:r>
      <w:r w:rsidR="00C7788D">
        <w:rPr>
          <w:rFonts w:cs="Times New Roman"/>
          <w:sz w:val="22"/>
          <w:szCs w:val="22"/>
        </w:rPr>
        <w:br/>
      </w:r>
      <w:r w:rsidR="004B6C57" w:rsidRPr="004B6C57">
        <w:rPr>
          <w:rFonts w:cs="Times New Roman"/>
          <w:sz w:val="22"/>
          <w:szCs w:val="22"/>
        </w:rPr>
        <w:t>w danym okresie</w:t>
      </w:r>
      <w:r>
        <w:rPr>
          <w:rFonts w:cs="Arial"/>
          <w:i/>
          <w:sz w:val="22"/>
          <w:szCs w:val="22"/>
        </w:rPr>
        <w:t>. Szczególnie powinni o tym pamiętać początkujący inwestorzy –</w:t>
      </w:r>
      <w:r w:rsidR="00DE3270">
        <w:rPr>
          <w:rFonts w:cs="Arial"/>
          <w:i/>
          <w:sz w:val="22"/>
          <w:szCs w:val="22"/>
        </w:rPr>
        <w:t> wahania na rynku mogą pozwalać na osiąganie</w:t>
      </w:r>
      <w:r w:rsidR="005F329B">
        <w:rPr>
          <w:rFonts w:cs="Arial"/>
          <w:i/>
          <w:sz w:val="22"/>
          <w:szCs w:val="22"/>
        </w:rPr>
        <w:t xml:space="preserve"> </w:t>
      </w:r>
      <w:r w:rsidR="00DE3270">
        <w:rPr>
          <w:rFonts w:cs="Arial"/>
          <w:i/>
          <w:sz w:val="22"/>
          <w:szCs w:val="22"/>
        </w:rPr>
        <w:t>wysokich zysków</w:t>
      </w:r>
      <w:r w:rsidR="005F329B">
        <w:rPr>
          <w:rFonts w:cs="Arial"/>
          <w:i/>
          <w:sz w:val="22"/>
          <w:szCs w:val="22"/>
        </w:rPr>
        <w:t xml:space="preserve">, ale </w:t>
      </w:r>
      <w:r w:rsidR="00DE3270">
        <w:rPr>
          <w:rFonts w:cs="Arial"/>
          <w:i/>
          <w:sz w:val="22"/>
          <w:szCs w:val="22"/>
        </w:rPr>
        <w:t>niosą również wyższe ryzyko</w:t>
      </w:r>
      <w:r w:rsidR="005F329B">
        <w:rPr>
          <w:rFonts w:cs="Arial"/>
          <w:i/>
          <w:sz w:val="22"/>
          <w:szCs w:val="22"/>
        </w:rPr>
        <w:t xml:space="preserve"> strat</w:t>
      </w:r>
      <w:r>
        <w:rPr>
          <w:rFonts w:cs="Arial"/>
          <w:i/>
          <w:sz w:val="22"/>
          <w:szCs w:val="22"/>
        </w:rPr>
        <w:t xml:space="preserve">. Dlatego tak ważne jest zdobycie wiedzy przed przystąpieniem do inwestycji na rynku OTC </w:t>
      </w:r>
      <w:r w:rsidRPr="00D52E82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mówi</w:t>
      </w:r>
      <w:r w:rsidRPr="00D52E82">
        <w:rPr>
          <w:rFonts w:cs="Arial"/>
          <w:sz w:val="22"/>
          <w:szCs w:val="22"/>
        </w:rPr>
        <w:t xml:space="preserve"> Marek Wołos</w:t>
      </w:r>
      <w:r>
        <w:rPr>
          <w:rFonts w:cs="Arial"/>
          <w:sz w:val="22"/>
          <w:szCs w:val="22"/>
        </w:rPr>
        <w:t xml:space="preserve">, </w:t>
      </w:r>
      <w:r w:rsidRPr="00CA0F77">
        <w:rPr>
          <w:sz w:val="22"/>
          <w:szCs w:val="22"/>
        </w:rPr>
        <w:t>ekspert IDM ds. rynków OTC instrumentów pochodnych</w:t>
      </w:r>
      <w:r w:rsidRPr="00D52E82">
        <w:rPr>
          <w:rFonts w:cs="Arial"/>
          <w:sz w:val="22"/>
          <w:szCs w:val="22"/>
        </w:rPr>
        <w:t>.</w:t>
      </w:r>
    </w:p>
    <w:p w14:paraId="31086A24" w14:textId="5E4A7019" w:rsidR="00F411E5" w:rsidRPr="004B6C57" w:rsidRDefault="008A6723" w:rsidP="0000016B">
      <w:pPr>
        <w:pStyle w:val="p1"/>
        <w:spacing w:before="120" w:after="240" w:line="276" w:lineRule="auto"/>
        <w:jc w:val="both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CA0F77">
        <w:rPr>
          <w:rFonts w:asciiTheme="minorHAnsi" w:hAnsiTheme="minorHAnsi"/>
          <w:color w:val="000000" w:themeColor="text1"/>
          <w:sz w:val="22"/>
          <w:szCs w:val="22"/>
        </w:rPr>
        <w:t xml:space="preserve">Działając jako reprezentant domów maklerskich podlegających krajowemu nadzorowi regulacyjnemu, w trosce o właściwą edukację otoczenia rynkowego i ochrony klientów domów maklerskich Izba skieruje propozycje współpracy do innych podmiotów w zakresie podjęcia działań mogących wpłynąć na poprawę funkcjonowania rynku. </w:t>
      </w:r>
      <w:r w:rsidR="002B1085" w:rsidRPr="004B6C57">
        <w:rPr>
          <w:rFonts w:asciiTheme="minorHAnsi" w:hAnsiTheme="minorHAnsi"/>
          <w:i/>
          <w:color w:val="000000" w:themeColor="text1"/>
          <w:sz w:val="22"/>
          <w:szCs w:val="22"/>
        </w:rPr>
        <w:t>Wyniki zaprezentowane przez domy maklerskie wchodzące w skład Izby wyraźnie wskazują</w:t>
      </w:r>
      <w:r w:rsidR="00213F9C" w:rsidRPr="004B6C57">
        <w:rPr>
          <w:rFonts w:asciiTheme="minorHAnsi" w:hAnsiTheme="minorHAnsi"/>
          <w:i/>
          <w:color w:val="000000" w:themeColor="text1"/>
          <w:sz w:val="22"/>
          <w:szCs w:val="22"/>
        </w:rPr>
        <w:t xml:space="preserve">, że rynek jest </w:t>
      </w:r>
      <w:r w:rsidR="000C4998" w:rsidRPr="004B6C57">
        <w:rPr>
          <w:rFonts w:asciiTheme="minorHAnsi" w:hAnsiTheme="minorHAnsi"/>
          <w:i/>
          <w:color w:val="000000" w:themeColor="text1"/>
          <w:sz w:val="22"/>
          <w:szCs w:val="22"/>
        </w:rPr>
        <w:t xml:space="preserve">coraz </w:t>
      </w:r>
      <w:r w:rsidR="00213F9C" w:rsidRPr="004B6C57">
        <w:rPr>
          <w:rFonts w:asciiTheme="minorHAnsi" w:hAnsiTheme="minorHAnsi"/>
          <w:i/>
          <w:color w:val="000000" w:themeColor="text1"/>
          <w:sz w:val="22"/>
          <w:szCs w:val="22"/>
        </w:rPr>
        <w:t>dojrza</w:t>
      </w:r>
      <w:r w:rsidR="000C4998" w:rsidRPr="004B6C57">
        <w:rPr>
          <w:rFonts w:asciiTheme="minorHAnsi" w:hAnsiTheme="minorHAnsi"/>
          <w:i/>
          <w:color w:val="000000" w:themeColor="text1"/>
          <w:sz w:val="22"/>
          <w:szCs w:val="22"/>
        </w:rPr>
        <w:t xml:space="preserve">lszy. Świadczy o tym </w:t>
      </w:r>
      <w:r w:rsidR="00213F9C" w:rsidRPr="004B6C57">
        <w:rPr>
          <w:rFonts w:asciiTheme="minorHAnsi" w:hAnsiTheme="minorHAnsi"/>
          <w:i/>
          <w:color w:val="000000" w:themeColor="text1"/>
          <w:sz w:val="22"/>
          <w:szCs w:val="22"/>
        </w:rPr>
        <w:t>systematyczn</w:t>
      </w:r>
      <w:r w:rsidR="000C4998" w:rsidRPr="004B6C57">
        <w:rPr>
          <w:rFonts w:asciiTheme="minorHAnsi" w:hAnsiTheme="minorHAnsi"/>
          <w:i/>
          <w:color w:val="000000" w:themeColor="text1"/>
          <w:sz w:val="22"/>
          <w:szCs w:val="22"/>
        </w:rPr>
        <w:t>a</w:t>
      </w:r>
      <w:r w:rsidR="00213F9C" w:rsidRPr="004B6C5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popraw</w:t>
      </w:r>
      <w:r w:rsidR="000C4998" w:rsidRPr="004B6C57">
        <w:rPr>
          <w:rFonts w:asciiTheme="minorHAnsi" w:hAnsiTheme="minorHAnsi"/>
          <w:i/>
          <w:color w:val="000000" w:themeColor="text1"/>
          <w:sz w:val="22"/>
          <w:szCs w:val="22"/>
        </w:rPr>
        <w:t>a</w:t>
      </w:r>
      <w:r w:rsidR="00213F9C" w:rsidRPr="004B6C5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wyników</w:t>
      </w:r>
      <w:r w:rsidR="000C4998" w:rsidRPr="004B6C5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inwestorów w ostatnich kwartałach w porównaniu do lat ubiegłych</w:t>
      </w:r>
      <w:r w:rsidR="00213F9C" w:rsidRPr="004B6C57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  <w:r w:rsidR="009A7C47" w:rsidRPr="004B6C5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Członkowie Izby</w:t>
      </w:r>
      <w:r w:rsidR="000C4998" w:rsidRPr="004B6C5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Domów Maklerskich</w:t>
      </w:r>
      <w:r w:rsidR="009A7C47" w:rsidRPr="004B6C5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konsekwentnie wypełniają obowiązki w zakresie działania w najlepiej pojętym interesie klienta</w:t>
      </w:r>
      <w:r w:rsidR="009F2F67" w:rsidRPr="004B6C57">
        <w:rPr>
          <w:rFonts w:asciiTheme="minorHAnsi" w:hAnsiTheme="minorHAnsi"/>
          <w:i/>
          <w:color w:val="000000" w:themeColor="text1"/>
          <w:sz w:val="22"/>
          <w:szCs w:val="22"/>
        </w:rPr>
        <w:t>, ale chcemy</w:t>
      </w:r>
      <w:r w:rsidR="004B6C5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też</w:t>
      </w:r>
      <w:r w:rsidR="009F2F67" w:rsidRPr="004B6C5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zbudować szerszą</w:t>
      </w:r>
      <w:r w:rsidR="00C7788D">
        <w:rPr>
          <w:rFonts w:asciiTheme="minorHAnsi" w:hAnsiTheme="minorHAnsi"/>
          <w:i/>
          <w:color w:val="000000" w:themeColor="text1"/>
          <w:sz w:val="22"/>
          <w:szCs w:val="22"/>
        </w:rPr>
        <w:t xml:space="preserve"> koalicję organizacji </w:t>
      </w:r>
      <w:r w:rsidRPr="004B6C57">
        <w:rPr>
          <w:rFonts w:asciiTheme="minorHAnsi" w:hAnsiTheme="minorHAnsi"/>
          <w:i/>
          <w:color w:val="000000" w:themeColor="text1"/>
          <w:sz w:val="22"/>
          <w:szCs w:val="22"/>
        </w:rPr>
        <w:t xml:space="preserve">i instytucji zainteresowanych długoterminowym </w:t>
      </w:r>
      <w:r w:rsidR="006E1DF1" w:rsidRPr="004B6C57">
        <w:rPr>
          <w:rFonts w:asciiTheme="minorHAnsi" w:hAnsiTheme="minorHAnsi"/>
          <w:i/>
          <w:color w:val="000000" w:themeColor="text1"/>
          <w:sz w:val="22"/>
          <w:szCs w:val="22"/>
        </w:rPr>
        <w:t xml:space="preserve">interesem polskiego rynku finansowego </w:t>
      </w:r>
      <w:r w:rsidR="009A7C47" w:rsidRPr="004B6C57">
        <w:rPr>
          <w:rFonts w:asciiTheme="minorHAnsi" w:hAnsiTheme="minorHAnsi"/>
          <w:i/>
          <w:color w:val="000000" w:themeColor="text1"/>
          <w:sz w:val="22"/>
          <w:szCs w:val="22"/>
        </w:rPr>
        <w:t xml:space="preserve">– </w:t>
      </w:r>
      <w:r w:rsidRPr="004B6C57">
        <w:rPr>
          <w:rFonts w:asciiTheme="minorHAnsi" w:hAnsiTheme="minorHAnsi"/>
          <w:i/>
          <w:color w:val="000000" w:themeColor="text1"/>
          <w:sz w:val="22"/>
          <w:szCs w:val="22"/>
        </w:rPr>
        <w:t>uzupełnia</w:t>
      </w:r>
      <w:r w:rsidR="009A7C47" w:rsidRPr="004B6C5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Marek Wołos.</w:t>
      </w:r>
    </w:p>
    <w:p w14:paraId="2ADCC62A" w14:textId="77777777" w:rsidR="00501C4D" w:rsidRDefault="00501C4D" w:rsidP="009768B1">
      <w:pPr>
        <w:spacing w:before="120" w:after="240" w:line="276" w:lineRule="auto"/>
        <w:rPr>
          <w:rFonts w:cs="Arial"/>
          <w:sz w:val="20"/>
          <w:szCs w:val="20"/>
        </w:rPr>
      </w:pPr>
    </w:p>
    <w:p w14:paraId="72AAFFFD" w14:textId="77777777" w:rsidR="0016542F" w:rsidRPr="00F411E5" w:rsidRDefault="0016542F" w:rsidP="0016542F">
      <w:pPr>
        <w:spacing w:before="120" w:after="120"/>
        <w:jc w:val="center"/>
        <w:rPr>
          <w:rFonts w:cs="Arial"/>
          <w:sz w:val="20"/>
          <w:szCs w:val="20"/>
        </w:rPr>
      </w:pPr>
      <w:r w:rsidRPr="00F411E5">
        <w:rPr>
          <w:rFonts w:cs="Arial"/>
          <w:sz w:val="20"/>
          <w:szCs w:val="20"/>
        </w:rPr>
        <w:t>* * * * *</w:t>
      </w:r>
    </w:p>
    <w:p w14:paraId="252B78BC" w14:textId="77777777" w:rsidR="0016542F" w:rsidRPr="00F411E5" w:rsidRDefault="0016542F" w:rsidP="0016542F">
      <w:pPr>
        <w:spacing w:before="120" w:after="120"/>
        <w:jc w:val="both"/>
        <w:rPr>
          <w:rFonts w:cs="Arial"/>
          <w:b/>
          <w:sz w:val="20"/>
          <w:szCs w:val="20"/>
        </w:rPr>
      </w:pPr>
      <w:r w:rsidRPr="00F411E5">
        <w:rPr>
          <w:rFonts w:cs="Arial"/>
          <w:b/>
          <w:sz w:val="20"/>
          <w:szCs w:val="20"/>
        </w:rPr>
        <w:t>O Izbie Domów Maklerskich</w:t>
      </w:r>
    </w:p>
    <w:p w14:paraId="0FC38676" w14:textId="77777777" w:rsidR="0016542F" w:rsidRPr="00F411E5" w:rsidRDefault="0016542F" w:rsidP="0016542F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i/>
          <w:color w:val="262626"/>
          <w:sz w:val="20"/>
          <w:szCs w:val="20"/>
        </w:rPr>
      </w:pPr>
      <w:r w:rsidRPr="00F411E5">
        <w:rPr>
          <w:rFonts w:cs="Arial"/>
          <w:i/>
          <w:color w:val="262626"/>
          <w:sz w:val="20"/>
          <w:szCs w:val="20"/>
        </w:rPr>
        <w:t>Izba Domów Maklerskich to największa niezależna samorządowa organizacja środowiska pracodawców domów i biur maklerskich w Polsce, obecnie zrzeszająca 23 członków.</w:t>
      </w:r>
    </w:p>
    <w:p w14:paraId="5B0A1F41" w14:textId="77777777" w:rsidR="0016542F" w:rsidRPr="00F411E5" w:rsidRDefault="0016542F" w:rsidP="0016542F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i/>
          <w:color w:val="262626"/>
          <w:sz w:val="20"/>
          <w:szCs w:val="20"/>
        </w:rPr>
      </w:pPr>
      <w:r w:rsidRPr="00F411E5">
        <w:rPr>
          <w:rFonts w:cs="Arial"/>
          <w:i/>
          <w:color w:val="262626"/>
          <w:sz w:val="20"/>
          <w:szCs w:val="20"/>
        </w:rPr>
        <w:t>Domy maklerskie odgrywają istotną rolę w rozwoju rynku kapitałowego i gospodarki. Pozyskują kapitał dla przedsiębiorstw, doradzają inwestorom w zakupie akcji na rynku pierwotnym oraz transakcjach na giełdzie papierów wartościowych. Domy maklerskie wspierają rozwój konkurencyjnego rynku kapitałowego oraz przyczyniają się do wzrostu gospodarczego w Polsce.</w:t>
      </w:r>
    </w:p>
    <w:p w14:paraId="2E5DD7E8" w14:textId="77777777" w:rsidR="0016542F" w:rsidRPr="00F411E5" w:rsidRDefault="0016542F" w:rsidP="0016542F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i/>
          <w:color w:val="262626"/>
          <w:sz w:val="20"/>
          <w:szCs w:val="20"/>
        </w:rPr>
      </w:pPr>
      <w:r w:rsidRPr="00F411E5">
        <w:rPr>
          <w:rFonts w:cs="Arial"/>
          <w:i/>
          <w:color w:val="262626"/>
          <w:sz w:val="20"/>
          <w:szCs w:val="20"/>
        </w:rPr>
        <w:t>Przez ponad 20 lat Izba zaangażowania w rozwój polskiego rynku kapitałowego, współpracując z rządem polskim</w:t>
      </w:r>
      <w:r w:rsidRPr="00F411E5">
        <w:rPr>
          <w:rFonts w:eastAsia="MingLiU" w:cs="MingLiU"/>
          <w:i/>
          <w:color w:val="262626"/>
          <w:sz w:val="20"/>
          <w:szCs w:val="20"/>
        </w:rPr>
        <w:t xml:space="preserve"> </w:t>
      </w:r>
      <w:r w:rsidRPr="00F411E5">
        <w:rPr>
          <w:rFonts w:cs="Arial"/>
          <w:i/>
          <w:color w:val="262626"/>
          <w:sz w:val="20"/>
          <w:szCs w:val="20"/>
        </w:rPr>
        <w:t>i organizacjami rynku kapitałowego. Pracami Izby kieruje Zarząd, w składzie Waldemar Markiewicz (Prezes Zarządu) i Piotr Sobków (Członek Zarządu).</w:t>
      </w:r>
    </w:p>
    <w:p w14:paraId="6130AA35" w14:textId="77777777" w:rsidR="00A20E9B" w:rsidRPr="0016542F" w:rsidRDefault="0016542F" w:rsidP="009F2F67">
      <w:pPr>
        <w:widowControl w:val="0"/>
        <w:autoSpaceDE w:val="0"/>
        <w:autoSpaceDN w:val="0"/>
        <w:adjustRightInd w:val="0"/>
        <w:spacing w:before="120" w:after="120"/>
        <w:jc w:val="both"/>
        <w:rPr>
          <w:lang w:val="en-US"/>
        </w:rPr>
      </w:pPr>
      <w:r w:rsidRPr="00C7788D">
        <w:rPr>
          <w:rFonts w:cs="Arial"/>
          <w:i/>
          <w:color w:val="262626"/>
          <w:sz w:val="20"/>
          <w:szCs w:val="20"/>
          <w:lang w:val="en-US"/>
        </w:rPr>
        <w:t>Izba</w:t>
      </w:r>
      <w:r w:rsidR="004571CA" w:rsidRPr="00C7788D">
        <w:rPr>
          <w:rFonts w:cs="Arial"/>
          <w:i/>
          <w:color w:val="262626"/>
          <w:sz w:val="20"/>
          <w:szCs w:val="20"/>
          <w:lang w:val="en-US"/>
        </w:rPr>
        <w:t xml:space="preserve"> Domó</w:t>
      </w:r>
      <w:r w:rsidRPr="00C7788D">
        <w:rPr>
          <w:rFonts w:cs="Arial"/>
          <w:i/>
          <w:color w:val="262626"/>
          <w:sz w:val="20"/>
          <w:szCs w:val="20"/>
          <w:lang w:val="en-US"/>
        </w:rPr>
        <w:t>w Maklerskich jest członkiem</w:t>
      </w:r>
      <w:r w:rsidRPr="00F411E5">
        <w:rPr>
          <w:rFonts w:cs="Arial"/>
          <w:i/>
          <w:color w:val="262626"/>
          <w:sz w:val="20"/>
          <w:szCs w:val="20"/>
          <w:lang w:val="en-US"/>
        </w:rPr>
        <w:t xml:space="preserve"> </w:t>
      </w:r>
      <w:r w:rsidRPr="00F411E5">
        <w:rPr>
          <w:rFonts w:cs="Arial"/>
          <w:i/>
          <w:color w:val="262626"/>
          <w:sz w:val="20"/>
          <w:szCs w:val="20"/>
          <w:lang w:val="en-GB"/>
        </w:rPr>
        <w:t>The European Forum of Securities Associations</w:t>
      </w:r>
      <w:r w:rsidRPr="00F411E5">
        <w:rPr>
          <w:rFonts w:cs="Arial"/>
          <w:i/>
          <w:color w:val="262626"/>
          <w:sz w:val="20"/>
          <w:szCs w:val="20"/>
          <w:lang w:val="en-US"/>
        </w:rPr>
        <w:t>.</w:t>
      </w:r>
    </w:p>
    <w:sectPr w:rsidR="00A20E9B" w:rsidRPr="0016542F" w:rsidSect="00683185">
      <w:headerReference w:type="default" r:id="rId7"/>
      <w:footerReference w:type="default" r:id="rId8"/>
      <w:pgSz w:w="11900" w:h="16840"/>
      <w:pgMar w:top="1418" w:right="1418" w:bottom="19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ECA36" w14:textId="77777777" w:rsidR="00EF7A72" w:rsidRDefault="00EF7A72" w:rsidP="000C5549">
      <w:r>
        <w:separator/>
      </w:r>
    </w:p>
  </w:endnote>
  <w:endnote w:type="continuationSeparator" w:id="0">
    <w:p w14:paraId="0403C48B" w14:textId="77777777" w:rsidR="00EF7A72" w:rsidRDefault="00EF7A72" w:rsidP="000C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D6685" w14:textId="77777777" w:rsidR="00C97171" w:rsidRPr="00C97171" w:rsidRDefault="00C97171" w:rsidP="00C97171">
    <w:pPr>
      <w:pStyle w:val="p1"/>
      <w:rPr>
        <w:rFonts w:ascii="Calibri" w:hAnsi="Calibri"/>
        <w:b/>
        <w:color w:val="auto"/>
        <w:sz w:val="20"/>
      </w:rPr>
    </w:pPr>
    <w:r w:rsidRPr="00C97171">
      <w:rPr>
        <w:rFonts w:ascii="Calibri" w:hAnsi="Calibri"/>
        <w:b/>
        <w:color w:val="auto"/>
        <w:sz w:val="20"/>
      </w:rPr>
      <w:t>Kontakt dla mediów:</w:t>
    </w:r>
  </w:p>
  <w:p w14:paraId="6662D5DB" w14:textId="77777777" w:rsidR="00C97171" w:rsidRPr="0031616C" w:rsidRDefault="00C97171" w:rsidP="00FE6511">
    <w:pPr>
      <w:pStyle w:val="p1"/>
      <w:rPr>
        <w:rFonts w:asciiTheme="minorHAnsi" w:hAnsiTheme="minorHAnsi"/>
        <w:color w:val="000000" w:themeColor="text1"/>
        <w:sz w:val="20"/>
        <w:szCs w:val="20"/>
      </w:rPr>
    </w:pPr>
    <w:r w:rsidRPr="0031616C">
      <w:rPr>
        <w:rFonts w:asciiTheme="minorHAnsi" w:hAnsiTheme="minorHAnsi"/>
        <w:color w:val="000000" w:themeColor="text1"/>
        <w:sz w:val="20"/>
        <w:szCs w:val="20"/>
      </w:rPr>
      <w:t>Marek Wołos</w:t>
    </w:r>
    <w:r w:rsidR="000C4998" w:rsidRPr="0031616C">
      <w:rPr>
        <w:rFonts w:asciiTheme="minorHAnsi" w:hAnsiTheme="minorHAnsi"/>
        <w:color w:val="000000" w:themeColor="text1"/>
        <w:sz w:val="20"/>
        <w:szCs w:val="20"/>
      </w:rPr>
      <w:t>, E</w:t>
    </w:r>
    <w:r w:rsidRPr="0031616C">
      <w:rPr>
        <w:rFonts w:asciiTheme="minorHAnsi" w:hAnsiTheme="minorHAnsi"/>
        <w:color w:val="000000" w:themeColor="text1"/>
        <w:sz w:val="20"/>
        <w:szCs w:val="20"/>
      </w:rPr>
      <w:t>kspert ds. rynków OTC</w:t>
    </w:r>
  </w:p>
  <w:p w14:paraId="78B30EB8" w14:textId="77777777" w:rsidR="00C97171" w:rsidRPr="00C97171" w:rsidRDefault="00C97171" w:rsidP="00C97171">
    <w:pPr>
      <w:rPr>
        <w:rFonts w:ascii="Calibri" w:hAnsi="Calibri" w:cs="Times New Roman"/>
        <w:sz w:val="20"/>
        <w:szCs w:val="18"/>
        <w:lang w:eastAsia="pl-PL"/>
      </w:rPr>
    </w:pPr>
    <w:r w:rsidRPr="00C97171">
      <w:rPr>
        <w:rFonts w:ascii="Calibri" w:hAnsi="Calibri" w:cs="Times New Roman"/>
        <w:sz w:val="20"/>
        <w:szCs w:val="18"/>
        <w:lang w:eastAsia="pl-PL"/>
      </w:rPr>
      <w:t>Izba Domów Maklerskich</w:t>
    </w:r>
  </w:p>
  <w:p w14:paraId="084892B9" w14:textId="77777777" w:rsidR="000C4998" w:rsidRPr="005F329B" w:rsidRDefault="00C97171" w:rsidP="00C97171">
    <w:pPr>
      <w:rPr>
        <w:rFonts w:ascii="Calibri" w:hAnsi="Calibri" w:cs="Times New Roman"/>
        <w:color w:val="000000" w:themeColor="text1"/>
        <w:sz w:val="20"/>
        <w:szCs w:val="18"/>
        <w:lang w:eastAsia="pl-PL"/>
      </w:rPr>
    </w:pPr>
    <w:r w:rsidRPr="005F329B">
      <w:rPr>
        <w:rFonts w:ascii="Calibri" w:hAnsi="Calibri" w:cs="Times New Roman"/>
        <w:sz w:val="20"/>
        <w:szCs w:val="18"/>
        <w:lang w:eastAsia="pl-PL"/>
      </w:rPr>
      <w:t>Tel.: +48 602.305.705</w:t>
    </w:r>
  </w:p>
  <w:p w14:paraId="633169A5" w14:textId="77777777" w:rsidR="00C97171" w:rsidRPr="005F329B" w:rsidRDefault="00C97171" w:rsidP="00C97171">
    <w:pPr>
      <w:rPr>
        <w:rFonts w:ascii="Calibri" w:hAnsi="Calibri" w:cs="Times New Roman"/>
        <w:sz w:val="20"/>
        <w:szCs w:val="18"/>
        <w:lang w:eastAsia="pl-PL"/>
      </w:rPr>
    </w:pPr>
    <w:r w:rsidRPr="005F329B">
      <w:rPr>
        <w:rFonts w:ascii="Calibri" w:hAnsi="Calibri" w:cs="Times New Roman"/>
        <w:color w:val="000000" w:themeColor="text1"/>
        <w:sz w:val="20"/>
        <w:szCs w:val="18"/>
        <w:lang w:eastAsia="pl-PL"/>
      </w:rPr>
      <w:t xml:space="preserve">Email: </w:t>
    </w:r>
    <w:hyperlink r:id="rId1" w:history="1">
      <w:r w:rsidRPr="005F329B">
        <w:rPr>
          <w:rFonts w:ascii="Calibri" w:hAnsi="Calibri" w:cs="Times New Roman"/>
          <w:color w:val="000000" w:themeColor="text1"/>
          <w:sz w:val="20"/>
          <w:szCs w:val="18"/>
          <w:lang w:eastAsia="pl-PL"/>
        </w:rPr>
        <w:t>marek.wolos@idm.com.pl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F9EC9" w14:textId="77777777" w:rsidR="00EF7A72" w:rsidRDefault="00EF7A72" w:rsidP="000C5549">
      <w:r>
        <w:separator/>
      </w:r>
    </w:p>
  </w:footnote>
  <w:footnote w:type="continuationSeparator" w:id="0">
    <w:p w14:paraId="42088E3A" w14:textId="77777777" w:rsidR="00EF7A72" w:rsidRDefault="00EF7A72" w:rsidP="000C55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4AB24" w14:textId="77777777" w:rsidR="000C5549" w:rsidRDefault="000C5549">
    <w:pPr>
      <w:pStyle w:val="Nagwek"/>
    </w:pPr>
    <w:r>
      <w:rPr>
        <w:noProof/>
        <w:lang w:eastAsia="pl-PL"/>
      </w:rPr>
      <w:drawing>
        <wp:inline distT="0" distB="0" distL="0" distR="0" wp14:anchorId="333BC1D0" wp14:editId="16871A3D">
          <wp:extent cx="3727508" cy="885602"/>
          <wp:effectExtent l="0" t="0" r="6350" b="3810"/>
          <wp:docPr id="1" name="Obraz 1" descr="/Users/donatapoplawska/Desktop/Logo ID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onatapoplawska/Desktop/Logo ID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4598" cy="894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650CF" w14:textId="77777777" w:rsidR="000C5549" w:rsidRDefault="000C5549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A0705"/>
    <w:multiLevelType w:val="hybridMultilevel"/>
    <w:tmpl w:val="00949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16"/>
    <w:rsid w:val="0000016B"/>
    <w:rsid w:val="00000FFB"/>
    <w:rsid w:val="00020B61"/>
    <w:rsid w:val="00037FEB"/>
    <w:rsid w:val="000515B2"/>
    <w:rsid w:val="00055170"/>
    <w:rsid w:val="000731F1"/>
    <w:rsid w:val="0008629A"/>
    <w:rsid w:val="00087390"/>
    <w:rsid w:val="00090100"/>
    <w:rsid w:val="000C4998"/>
    <w:rsid w:val="000C5549"/>
    <w:rsid w:val="000D1A72"/>
    <w:rsid w:val="000E3156"/>
    <w:rsid w:val="00101193"/>
    <w:rsid w:val="00105DAD"/>
    <w:rsid w:val="00122A49"/>
    <w:rsid w:val="0016542F"/>
    <w:rsid w:val="001830A2"/>
    <w:rsid w:val="0018517F"/>
    <w:rsid w:val="00187051"/>
    <w:rsid w:val="00213F9C"/>
    <w:rsid w:val="0021518E"/>
    <w:rsid w:val="0026580A"/>
    <w:rsid w:val="00270BBE"/>
    <w:rsid w:val="00293388"/>
    <w:rsid w:val="002B1085"/>
    <w:rsid w:val="002E22CE"/>
    <w:rsid w:val="002F25D8"/>
    <w:rsid w:val="0031616C"/>
    <w:rsid w:val="00357BD8"/>
    <w:rsid w:val="00363138"/>
    <w:rsid w:val="00382832"/>
    <w:rsid w:val="003847C6"/>
    <w:rsid w:val="00395986"/>
    <w:rsid w:val="003A4D29"/>
    <w:rsid w:val="003A5404"/>
    <w:rsid w:val="003F6232"/>
    <w:rsid w:val="00455864"/>
    <w:rsid w:val="004571CA"/>
    <w:rsid w:val="004B6C57"/>
    <w:rsid w:val="00501C4D"/>
    <w:rsid w:val="00533AA6"/>
    <w:rsid w:val="00540452"/>
    <w:rsid w:val="0055617D"/>
    <w:rsid w:val="005B26C6"/>
    <w:rsid w:val="005B604A"/>
    <w:rsid w:val="005C1D59"/>
    <w:rsid w:val="005E79C9"/>
    <w:rsid w:val="005F329B"/>
    <w:rsid w:val="00614EBE"/>
    <w:rsid w:val="006412AE"/>
    <w:rsid w:val="00683185"/>
    <w:rsid w:val="00696059"/>
    <w:rsid w:val="006A2A96"/>
    <w:rsid w:val="006A3714"/>
    <w:rsid w:val="006B0C5D"/>
    <w:rsid w:val="006D0968"/>
    <w:rsid w:val="006D456E"/>
    <w:rsid w:val="006E1DF1"/>
    <w:rsid w:val="007141AA"/>
    <w:rsid w:val="0071686B"/>
    <w:rsid w:val="007337C7"/>
    <w:rsid w:val="0075494C"/>
    <w:rsid w:val="00761BD3"/>
    <w:rsid w:val="007809D0"/>
    <w:rsid w:val="007A6CB7"/>
    <w:rsid w:val="007C427C"/>
    <w:rsid w:val="007C7DC4"/>
    <w:rsid w:val="007D149F"/>
    <w:rsid w:val="007D4152"/>
    <w:rsid w:val="00882477"/>
    <w:rsid w:val="008A6723"/>
    <w:rsid w:val="008E235F"/>
    <w:rsid w:val="00905CC5"/>
    <w:rsid w:val="00941662"/>
    <w:rsid w:val="009439DC"/>
    <w:rsid w:val="00951CB2"/>
    <w:rsid w:val="009768B1"/>
    <w:rsid w:val="0099203E"/>
    <w:rsid w:val="00994B87"/>
    <w:rsid w:val="009A304D"/>
    <w:rsid w:val="009A7C47"/>
    <w:rsid w:val="009F2F67"/>
    <w:rsid w:val="009F3345"/>
    <w:rsid w:val="00A02F5E"/>
    <w:rsid w:val="00A20E9B"/>
    <w:rsid w:val="00A63B8A"/>
    <w:rsid w:val="00AA0C52"/>
    <w:rsid w:val="00AB0635"/>
    <w:rsid w:val="00AF2979"/>
    <w:rsid w:val="00B2136D"/>
    <w:rsid w:val="00B41F50"/>
    <w:rsid w:val="00B45283"/>
    <w:rsid w:val="00B46C91"/>
    <w:rsid w:val="00B514D8"/>
    <w:rsid w:val="00B76DC0"/>
    <w:rsid w:val="00BB5729"/>
    <w:rsid w:val="00C25944"/>
    <w:rsid w:val="00C61A73"/>
    <w:rsid w:val="00C7788D"/>
    <w:rsid w:val="00C97171"/>
    <w:rsid w:val="00CA0F77"/>
    <w:rsid w:val="00CA1C95"/>
    <w:rsid w:val="00CC2160"/>
    <w:rsid w:val="00D14FC6"/>
    <w:rsid w:val="00D52674"/>
    <w:rsid w:val="00D52E82"/>
    <w:rsid w:val="00D84D08"/>
    <w:rsid w:val="00DA4F61"/>
    <w:rsid w:val="00DE0A86"/>
    <w:rsid w:val="00DE3270"/>
    <w:rsid w:val="00DE7ADE"/>
    <w:rsid w:val="00E12088"/>
    <w:rsid w:val="00E44BE2"/>
    <w:rsid w:val="00E52216"/>
    <w:rsid w:val="00E85D7F"/>
    <w:rsid w:val="00EC4AE7"/>
    <w:rsid w:val="00EE26BD"/>
    <w:rsid w:val="00EF7A72"/>
    <w:rsid w:val="00F00DD4"/>
    <w:rsid w:val="00F411E5"/>
    <w:rsid w:val="00F652E2"/>
    <w:rsid w:val="00F66461"/>
    <w:rsid w:val="00F84405"/>
    <w:rsid w:val="00FE15E4"/>
    <w:rsid w:val="00FE2FF8"/>
    <w:rsid w:val="00FE6511"/>
    <w:rsid w:val="00FF0309"/>
    <w:rsid w:val="00FF1F1E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84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654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5549"/>
  </w:style>
  <w:style w:type="paragraph" w:styleId="Stopka">
    <w:name w:val="footer"/>
    <w:basedOn w:val="Normalny"/>
    <w:link w:val="StopkaZnak"/>
    <w:uiPriority w:val="99"/>
    <w:unhideWhenUsed/>
    <w:rsid w:val="000C5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5549"/>
  </w:style>
  <w:style w:type="paragraph" w:customStyle="1" w:styleId="p1">
    <w:name w:val="p1"/>
    <w:basedOn w:val="Normalny"/>
    <w:rsid w:val="00696059"/>
    <w:rPr>
      <w:rFonts w:ascii="Helvetica" w:hAnsi="Helvetica" w:cs="Times New Roman"/>
      <w:color w:val="454545"/>
      <w:sz w:val="18"/>
      <w:szCs w:val="18"/>
      <w:lang w:eastAsia="pl-PL"/>
    </w:rPr>
  </w:style>
  <w:style w:type="paragraph" w:customStyle="1" w:styleId="p2">
    <w:name w:val="p2"/>
    <w:basedOn w:val="Normalny"/>
    <w:rsid w:val="00696059"/>
    <w:rPr>
      <w:rFonts w:ascii="Helvetica" w:hAnsi="Helvetica" w:cs="Times New Roman"/>
      <w:color w:val="454545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696059"/>
  </w:style>
  <w:style w:type="character" w:customStyle="1" w:styleId="s1">
    <w:name w:val="s1"/>
    <w:basedOn w:val="Domylnaczcionkaakapitu"/>
    <w:rsid w:val="00B41F50"/>
  </w:style>
  <w:style w:type="paragraph" w:styleId="Tekstdymka">
    <w:name w:val="Balloon Text"/>
    <w:basedOn w:val="Normalny"/>
    <w:link w:val="TekstdymkaZnak"/>
    <w:uiPriority w:val="99"/>
    <w:semiHidden/>
    <w:unhideWhenUsed/>
    <w:rsid w:val="00E44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BE2"/>
    <w:rPr>
      <w:rFonts w:ascii="Tahoma" w:hAnsi="Tahoma" w:cs="Tahoma"/>
      <w:sz w:val="16"/>
      <w:szCs w:val="16"/>
    </w:rPr>
  </w:style>
  <w:style w:type="character" w:customStyle="1" w:styleId="s3">
    <w:name w:val="s3"/>
    <w:basedOn w:val="Domylnaczcionkaakapitu"/>
    <w:rsid w:val="00C97171"/>
    <w:rPr>
      <w:color w:val="4787FF"/>
      <w:u w:val="single"/>
    </w:rPr>
  </w:style>
  <w:style w:type="paragraph" w:styleId="Akapitzlist">
    <w:name w:val="List Paragraph"/>
    <w:basedOn w:val="Normalny"/>
    <w:uiPriority w:val="34"/>
    <w:qFormat/>
    <w:rsid w:val="007C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ek.wolos@id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3714</Characters>
  <Application>Microsoft Macintosh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 Domów Maklerskich</dc:creator>
  <cp:keywords/>
  <dc:description/>
  <cp:lastModifiedBy>NOBILI PARTNERS Sp. z o.o.</cp:lastModifiedBy>
  <cp:revision>3</cp:revision>
  <cp:lastPrinted>2017-01-09T11:54:00Z</cp:lastPrinted>
  <dcterms:created xsi:type="dcterms:W3CDTF">2017-01-09T18:30:00Z</dcterms:created>
  <dcterms:modified xsi:type="dcterms:W3CDTF">2017-01-10T08:36:00Z</dcterms:modified>
  <cp:category/>
</cp:coreProperties>
</file>