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2D004" w14:textId="4F66F295" w:rsidR="00122A49" w:rsidRPr="00635373" w:rsidRDefault="004F1B21" w:rsidP="00EE244F">
      <w:pPr>
        <w:pStyle w:val="p1"/>
        <w:spacing w:before="120" w:after="240" w:line="276" w:lineRule="auto"/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635373">
        <w:rPr>
          <w:rFonts w:asciiTheme="minorHAnsi" w:hAnsiTheme="minorHAnsi"/>
          <w:color w:val="000000" w:themeColor="text1"/>
          <w:sz w:val="22"/>
          <w:szCs w:val="22"/>
        </w:rPr>
        <w:t>16 lutego 2017</w:t>
      </w:r>
      <w:r w:rsidR="00696059" w:rsidRPr="00635373">
        <w:rPr>
          <w:rFonts w:asciiTheme="minorHAnsi" w:hAnsiTheme="minorHAnsi"/>
          <w:color w:val="000000" w:themeColor="text1"/>
          <w:sz w:val="22"/>
          <w:szCs w:val="22"/>
        </w:rPr>
        <w:t xml:space="preserve"> r.</w:t>
      </w:r>
    </w:p>
    <w:p w14:paraId="06003FDB" w14:textId="1871FF9B" w:rsidR="003F3CB0" w:rsidRDefault="007B09C3" w:rsidP="00853EDD">
      <w:pPr>
        <w:spacing w:line="276" w:lineRule="auto"/>
        <w:jc w:val="center"/>
        <w:rPr>
          <w:rFonts w:cs="Times New Roman"/>
          <w:b/>
          <w:color w:val="000000" w:themeColor="text1"/>
          <w:sz w:val="26"/>
          <w:szCs w:val="26"/>
          <w:lang w:eastAsia="pl-PL"/>
        </w:rPr>
      </w:pPr>
      <w:r>
        <w:rPr>
          <w:rFonts w:cs="Times New Roman"/>
          <w:b/>
          <w:color w:val="000000" w:themeColor="text1"/>
          <w:sz w:val="26"/>
          <w:szCs w:val="26"/>
          <w:lang w:eastAsia="pl-PL"/>
        </w:rPr>
        <w:t>Jak</w:t>
      </w:r>
      <w:r w:rsidR="003F3CB0" w:rsidRPr="003F3CB0">
        <w:rPr>
          <w:rFonts w:cs="Times New Roman"/>
          <w:b/>
          <w:color w:val="000000" w:themeColor="text1"/>
          <w:sz w:val="26"/>
          <w:szCs w:val="26"/>
          <w:lang w:eastAsia="pl-PL"/>
        </w:rPr>
        <w:t xml:space="preserve"> bezpiecz</w:t>
      </w:r>
      <w:r>
        <w:rPr>
          <w:rFonts w:cs="Times New Roman"/>
          <w:b/>
          <w:color w:val="000000" w:themeColor="text1"/>
          <w:sz w:val="26"/>
          <w:szCs w:val="26"/>
          <w:lang w:eastAsia="pl-PL"/>
        </w:rPr>
        <w:t>niej realizować</w:t>
      </w:r>
      <w:r w:rsidR="003F3CB0" w:rsidRPr="003F3CB0">
        <w:rPr>
          <w:rFonts w:cs="Times New Roman"/>
          <w:b/>
          <w:color w:val="000000" w:themeColor="text1"/>
          <w:sz w:val="26"/>
          <w:szCs w:val="26"/>
          <w:lang w:eastAsia="pl-PL"/>
        </w:rPr>
        <w:t xml:space="preserve"> transakcj</w:t>
      </w:r>
      <w:r>
        <w:rPr>
          <w:rFonts w:cs="Times New Roman"/>
          <w:b/>
          <w:color w:val="000000" w:themeColor="text1"/>
          <w:sz w:val="26"/>
          <w:szCs w:val="26"/>
          <w:lang w:eastAsia="pl-PL"/>
        </w:rPr>
        <w:t>e</w:t>
      </w:r>
      <w:r w:rsidR="003F3CB0" w:rsidRPr="003F3CB0">
        <w:rPr>
          <w:rFonts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>
        <w:rPr>
          <w:rFonts w:cs="Times New Roman"/>
          <w:b/>
          <w:color w:val="000000" w:themeColor="text1"/>
          <w:sz w:val="26"/>
          <w:szCs w:val="26"/>
          <w:lang w:eastAsia="pl-PL"/>
        </w:rPr>
        <w:t xml:space="preserve">zawierać </w:t>
      </w:r>
      <w:r w:rsidR="003F3CB0" w:rsidRPr="003F3CB0">
        <w:rPr>
          <w:rFonts w:cs="Times New Roman"/>
          <w:b/>
          <w:color w:val="000000" w:themeColor="text1"/>
          <w:sz w:val="26"/>
          <w:szCs w:val="26"/>
          <w:lang w:eastAsia="pl-PL"/>
        </w:rPr>
        <w:t>um</w:t>
      </w:r>
      <w:r>
        <w:rPr>
          <w:rFonts w:cs="Times New Roman"/>
          <w:b/>
          <w:color w:val="000000" w:themeColor="text1"/>
          <w:sz w:val="26"/>
          <w:szCs w:val="26"/>
          <w:lang w:eastAsia="pl-PL"/>
        </w:rPr>
        <w:t>owy</w:t>
      </w:r>
      <w:r w:rsidR="003F3CB0" w:rsidRPr="003F3CB0">
        <w:rPr>
          <w:rFonts w:cs="Times New Roman"/>
          <w:b/>
          <w:color w:val="000000" w:themeColor="text1"/>
          <w:sz w:val="26"/>
          <w:szCs w:val="26"/>
          <w:lang w:eastAsia="pl-PL"/>
        </w:rPr>
        <w:t xml:space="preserve"> oraz jak ustrzec się</w:t>
      </w:r>
      <w:r w:rsidR="00853EDD">
        <w:rPr>
          <w:rFonts w:cs="Times New Roman"/>
          <w:b/>
          <w:color w:val="000000" w:themeColor="text1"/>
          <w:sz w:val="26"/>
          <w:szCs w:val="26"/>
          <w:lang w:eastAsia="pl-PL"/>
        </w:rPr>
        <w:t xml:space="preserve"> przed </w:t>
      </w:r>
      <w:r>
        <w:rPr>
          <w:rFonts w:cs="Times New Roman"/>
          <w:b/>
          <w:color w:val="000000" w:themeColor="text1"/>
          <w:sz w:val="26"/>
          <w:szCs w:val="26"/>
          <w:lang w:eastAsia="pl-PL"/>
        </w:rPr>
        <w:t>nierzetelnymi sprzedawcami instrumentów finansowych</w:t>
      </w:r>
      <w:r w:rsidR="000F7274">
        <w:rPr>
          <w:rFonts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853EDD">
        <w:rPr>
          <w:rFonts w:cs="Times New Roman"/>
          <w:b/>
          <w:color w:val="000000" w:themeColor="text1"/>
          <w:sz w:val="26"/>
          <w:szCs w:val="26"/>
          <w:lang w:eastAsia="pl-PL"/>
        </w:rPr>
        <w:t xml:space="preserve">– </w:t>
      </w:r>
      <w:r w:rsidR="003F3CB0" w:rsidRPr="003F3CB0">
        <w:rPr>
          <w:rFonts w:cs="Times New Roman"/>
          <w:b/>
          <w:color w:val="000000" w:themeColor="text1"/>
          <w:sz w:val="26"/>
          <w:szCs w:val="26"/>
          <w:lang w:eastAsia="pl-PL"/>
        </w:rPr>
        <w:t>Izba Domów Maklerskich opublikowała pierwszy prakty</w:t>
      </w:r>
      <w:r w:rsidR="003F3CB0">
        <w:rPr>
          <w:rFonts w:cs="Times New Roman"/>
          <w:b/>
          <w:color w:val="000000" w:themeColor="text1"/>
          <w:sz w:val="26"/>
          <w:szCs w:val="26"/>
          <w:lang w:eastAsia="pl-PL"/>
        </w:rPr>
        <w:t xml:space="preserve">czny przewodnik dla </w:t>
      </w:r>
      <w:r>
        <w:rPr>
          <w:rFonts w:cs="Times New Roman"/>
          <w:b/>
          <w:color w:val="000000" w:themeColor="text1"/>
          <w:sz w:val="26"/>
          <w:szCs w:val="26"/>
          <w:lang w:eastAsia="pl-PL"/>
        </w:rPr>
        <w:t xml:space="preserve">polskich </w:t>
      </w:r>
      <w:r w:rsidR="003F3CB0">
        <w:rPr>
          <w:rFonts w:cs="Times New Roman"/>
          <w:b/>
          <w:color w:val="000000" w:themeColor="text1"/>
          <w:sz w:val="26"/>
          <w:szCs w:val="26"/>
          <w:lang w:eastAsia="pl-PL"/>
        </w:rPr>
        <w:t>inwestorów</w:t>
      </w:r>
    </w:p>
    <w:p w14:paraId="1E8C0F41" w14:textId="536BEFA3" w:rsidR="007B09C3" w:rsidRDefault="00A31DC1" w:rsidP="000F7274">
      <w:pPr>
        <w:spacing w:before="120" w:after="80" w:line="276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Izba Domów Maklerskich opracowała pierwszy na polskim rynku OTC praktyczny przewodnik</w:t>
      </w:r>
      <w:r w:rsidR="00FC1E05">
        <w:rPr>
          <w:b/>
          <w:color w:val="000000" w:themeColor="text1"/>
          <w:sz w:val="22"/>
          <w:szCs w:val="22"/>
        </w:rPr>
        <w:t xml:space="preserve"> </w:t>
      </w:r>
      <w:r w:rsidR="000F7274">
        <w:rPr>
          <w:b/>
          <w:color w:val="000000" w:themeColor="text1"/>
          <w:sz w:val="22"/>
          <w:szCs w:val="22"/>
        </w:rPr>
        <w:br/>
      </w:r>
      <w:r w:rsidR="00FC1E05">
        <w:rPr>
          <w:b/>
          <w:color w:val="000000" w:themeColor="text1"/>
          <w:sz w:val="22"/>
          <w:szCs w:val="22"/>
        </w:rPr>
        <w:t>nt. bezpieczeństwa uczestników rynku inwestycyjnego w Polsce</w:t>
      </w:r>
      <w:r w:rsidR="00597B17">
        <w:rPr>
          <w:b/>
          <w:color w:val="000000" w:themeColor="text1"/>
          <w:sz w:val="22"/>
          <w:szCs w:val="22"/>
        </w:rPr>
        <w:t>. Materiał</w:t>
      </w:r>
      <w:r w:rsidR="00237426">
        <w:rPr>
          <w:b/>
          <w:color w:val="000000" w:themeColor="text1"/>
          <w:sz w:val="22"/>
          <w:szCs w:val="22"/>
        </w:rPr>
        <w:t xml:space="preserve"> pt.</w:t>
      </w:r>
      <w:r w:rsidR="00597B17">
        <w:rPr>
          <w:b/>
          <w:color w:val="000000" w:themeColor="text1"/>
          <w:sz w:val="22"/>
          <w:szCs w:val="22"/>
        </w:rPr>
        <w:t xml:space="preserve"> </w:t>
      </w:r>
      <w:r w:rsidR="00237426" w:rsidRPr="00237426">
        <w:rPr>
          <w:b/>
          <w:i/>
          <w:color w:val="000000" w:themeColor="text1"/>
          <w:sz w:val="22"/>
          <w:szCs w:val="22"/>
        </w:rPr>
        <w:t>Jak bezpiecznie inwestować na rynkach finansowych</w:t>
      </w:r>
      <w:r w:rsidR="00237426" w:rsidRPr="00237426">
        <w:rPr>
          <w:b/>
          <w:color w:val="000000" w:themeColor="text1"/>
          <w:sz w:val="22"/>
          <w:szCs w:val="22"/>
        </w:rPr>
        <w:t xml:space="preserve"> </w:t>
      </w:r>
      <w:r w:rsidR="00A15760">
        <w:rPr>
          <w:b/>
          <w:color w:val="000000" w:themeColor="text1"/>
          <w:sz w:val="22"/>
          <w:szCs w:val="22"/>
        </w:rPr>
        <w:t>zawiera wiele wskazówek i porad</w:t>
      </w:r>
      <w:r w:rsidR="00B07FCB">
        <w:rPr>
          <w:b/>
          <w:color w:val="000000" w:themeColor="text1"/>
          <w:sz w:val="22"/>
          <w:szCs w:val="22"/>
        </w:rPr>
        <w:t xml:space="preserve"> </w:t>
      </w:r>
      <w:r w:rsidR="00597B17">
        <w:rPr>
          <w:b/>
          <w:color w:val="000000" w:themeColor="text1"/>
          <w:sz w:val="22"/>
          <w:szCs w:val="22"/>
        </w:rPr>
        <w:t>na co zwracać uwagę przed rozpoczęciem inwestycji</w:t>
      </w:r>
      <w:r w:rsidR="00B07FCB">
        <w:rPr>
          <w:b/>
          <w:color w:val="000000" w:themeColor="text1"/>
          <w:sz w:val="22"/>
          <w:szCs w:val="22"/>
        </w:rPr>
        <w:t>.</w:t>
      </w:r>
    </w:p>
    <w:p w14:paraId="59D9800C" w14:textId="355F0CFC" w:rsidR="00223968" w:rsidRDefault="00B07FCB" w:rsidP="000F7274">
      <w:pPr>
        <w:spacing w:before="120" w:after="80" w:line="276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Izba skieruje Informator do konsultacji </w:t>
      </w:r>
      <w:r w:rsidR="00FC1E05">
        <w:rPr>
          <w:b/>
          <w:color w:val="000000" w:themeColor="text1"/>
          <w:sz w:val="22"/>
          <w:szCs w:val="22"/>
        </w:rPr>
        <w:t>do innych podmiotów rynku finansowego</w:t>
      </w:r>
      <w:r>
        <w:rPr>
          <w:b/>
          <w:color w:val="000000" w:themeColor="text1"/>
          <w:sz w:val="22"/>
          <w:szCs w:val="22"/>
        </w:rPr>
        <w:t>, aby aktywnie inicjować działania, które przyczyniają się do rozwoju polskiego rynku kapitałow</w:t>
      </w:r>
      <w:r w:rsidR="00FC1E05">
        <w:rPr>
          <w:b/>
          <w:color w:val="000000" w:themeColor="text1"/>
          <w:sz w:val="22"/>
          <w:szCs w:val="22"/>
        </w:rPr>
        <w:t>e</w:t>
      </w:r>
      <w:r>
        <w:rPr>
          <w:b/>
          <w:color w:val="000000" w:themeColor="text1"/>
          <w:sz w:val="22"/>
          <w:szCs w:val="22"/>
        </w:rPr>
        <w:t>go.</w:t>
      </w:r>
    </w:p>
    <w:p w14:paraId="66668E46" w14:textId="5A8C70E7" w:rsidR="00EC3BB7" w:rsidRPr="00EC3BB7" w:rsidRDefault="00BB72D8" w:rsidP="00EE244F">
      <w:pPr>
        <w:spacing w:before="120" w:after="240" w:line="276" w:lineRule="auto"/>
        <w:jc w:val="both"/>
        <w:rPr>
          <w:color w:val="000000" w:themeColor="text1"/>
          <w:sz w:val="22"/>
          <w:szCs w:val="22"/>
        </w:rPr>
      </w:pPr>
      <w:r w:rsidRPr="00EC3BB7">
        <w:rPr>
          <w:color w:val="000000" w:themeColor="text1"/>
          <w:sz w:val="22"/>
          <w:szCs w:val="22"/>
        </w:rPr>
        <w:t>N</w:t>
      </w:r>
      <w:r w:rsidR="00853528" w:rsidRPr="00EC3BB7">
        <w:rPr>
          <w:color w:val="000000" w:themeColor="text1"/>
          <w:sz w:val="22"/>
          <w:szCs w:val="22"/>
        </w:rPr>
        <w:t xml:space="preserve">ieświadomi ryzyka </w:t>
      </w:r>
      <w:r w:rsidR="00333930">
        <w:rPr>
          <w:color w:val="000000" w:themeColor="text1"/>
          <w:sz w:val="22"/>
          <w:szCs w:val="22"/>
        </w:rPr>
        <w:t xml:space="preserve">polscy </w:t>
      </w:r>
      <w:r w:rsidR="00853528" w:rsidRPr="00EC3BB7">
        <w:rPr>
          <w:color w:val="000000" w:themeColor="text1"/>
          <w:sz w:val="22"/>
          <w:szCs w:val="22"/>
        </w:rPr>
        <w:t>inwestorzy</w:t>
      </w:r>
      <w:r w:rsidRPr="00EC3BB7">
        <w:rPr>
          <w:color w:val="000000" w:themeColor="text1"/>
          <w:sz w:val="22"/>
          <w:szCs w:val="22"/>
        </w:rPr>
        <w:t xml:space="preserve"> padali</w:t>
      </w:r>
      <w:r w:rsidR="00853528" w:rsidRPr="00EC3BB7">
        <w:rPr>
          <w:color w:val="000000" w:themeColor="text1"/>
          <w:sz w:val="22"/>
          <w:szCs w:val="22"/>
        </w:rPr>
        <w:t xml:space="preserve"> </w:t>
      </w:r>
      <w:r w:rsidR="00382347">
        <w:rPr>
          <w:color w:val="000000" w:themeColor="text1"/>
          <w:sz w:val="22"/>
          <w:szCs w:val="22"/>
        </w:rPr>
        <w:t xml:space="preserve">w ostatnich latach </w:t>
      </w:r>
      <w:r w:rsidR="00853528" w:rsidRPr="00EC3BB7">
        <w:rPr>
          <w:color w:val="000000" w:themeColor="text1"/>
          <w:sz w:val="22"/>
          <w:szCs w:val="22"/>
        </w:rPr>
        <w:t xml:space="preserve">ofiarą </w:t>
      </w:r>
      <w:r w:rsidR="00640A66">
        <w:rPr>
          <w:color w:val="000000" w:themeColor="text1"/>
          <w:sz w:val="22"/>
          <w:szCs w:val="22"/>
        </w:rPr>
        <w:t xml:space="preserve">nielegalnie </w:t>
      </w:r>
      <w:r w:rsidR="00333930">
        <w:rPr>
          <w:color w:val="000000" w:themeColor="text1"/>
          <w:sz w:val="22"/>
          <w:szCs w:val="22"/>
        </w:rPr>
        <w:t xml:space="preserve">działających </w:t>
      </w:r>
      <w:r w:rsidR="00853528" w:rsidRPr="00EC3BB7">
        <w:rPr>
          <w:color w:val="000000" w:themeColor="text1"/>
          <w:sz w:val="22"/>
          <w:szCs w:val="22"/>
        </w:rPr>
        <w:t>podmiotów</w:t>
      </w:r>
      <w:r w:rsidR="00333930">
        <w:rPr>
          <w:color w:val="000000" w:themeColor="text1"/>
          <w:sz w:val="22"/>
          <w:szCs w:val="22"/>
        </w:rPr>
        <w:t>,</w:t>
      </w:r>
      <w:r w:rsidR="00853528" w:rsidRPr="00EC3BB7">
        <w:rPr>
          <w:color w:val="000000" w:themeColor="text1"/>
          <w:sz w:val="22"/>
          <w:szCs w:val="22"/>
        </w:rPr>
        <w:t xml:space="preserve"> </w:t>
      </w:r>
      <w:r w:rsidR="00333930">
        <w:rPr>
          <w:color w:val="000000" w:themeColor="text1"/>
          <w:sz w:val="22"/>
          <w:szCs w:val="22"/>
        </w:rPr>
        <w:t xml:space="preserve">często zlokalizowanych w egzotycznych krajach, </w:t>
      </w:r>
      <w:r w:rsidR="00853528" w:rsidRPr="00EC3BB7">
        <w:rPr>
          <w:color w:val="000000" w:themeColor="text1"/>
          <w:sz w:val="22"/>
          <w:szCs w:val="22"/>
        </w:rPr>
        <w:t>oferujących produkty maklerskie. S</w:t>
      </w:r>
      <w:r w:rsidR="00E15675" w:rsidRPr="00EC3BB7">
        <w:rPr>
          <w:color w:val="000000" w:themeColor="text1"/>
          <w:sz w:val="22"/>
          <w:szCs w:val="22"/>
        </w:rPr>
        <w:t>tanowi</w:t>
      </w:r>
      <w:r w:rsidRPr="00EC3BB7">
        <w:rPr>
          <w:color w:val="000000" w:themeColor="text1"/>
          <w:sz w:val="22"/>
          <w:szCs w:val="22"/>
        </w:rPr>
        <w:t>ło</w:t>
      </w:r>
      <w:r w:rsidR="00853528" w:rsidRPr="00EC3BB7">
        <w:rPr>
          <w:color w:val="000000" w:themeColor="text1"/>
          <w:sz w:val="22"/>
          <w:szCs w:val="22"/>
        </w:rPr>
        <w:t xml:space="preserve"> to</w:t>
      </w:r>
      <w:r w:rsidR="00E15675" w:rsidRPr="00EC3BB7">
        <w:rPr>
          <w:color w:val="000000" w:themeColor="text1"/>
          <w:sz w:val="22"/>
          <w:szCs w:val="22"/>
        </w:rPr>
        <w:t xml:space="preserve"> </w:t>
      </w:r>
      <w:r w:rsidR="00333930">
        <w:rPr>
          <w:color w:val="000000" w:themeColor="text1"/>
          <w:sz w:val="22"/>
          <w:szCs w:val="22"/>
        </w:rPr>
        <w:t>istotny</w:t>
      </w:r>
      <w:r w:rsidR="00333930" w:rsidRPr="00EC3BB7">
        <w:rPr>
          <w:color w:val="000000" w:themeColor="text1"/>
          <w:sz w:val="22"/>
          <w:szCs w:val="22"/>
        </w:rPr>
        <w:t xml:space="preserve"> </w:t>
      </w:r>
      <w:r w:rsidR="00E15675" w:rsidRPr="00EC3BB7">
        <w:rPr>
          <w:color w:val="000000" w:themeColor="text1"/>
          <w:sz w:val="22"/>
          <w:szCs w:val="22"/>
        </w:rPr>
        <w:t xml:space="preserve">problem zarówno dla </w:t>
      </w:r>
      <w:r w:rsidR="00853EDD">
        <w:rPr>
          <w:color w:val="000000" w:themeColor="text1"/>
          <w:sz w:val="22"/>
          <w:szCs w:val="22"/>
        </w:rPr>
        <w:t>klientów</w:t>
      </w:r>
      <w:r w:rsidR="00E15675" w:rsidRPr="00EC3BB7">
        <w:rPr>
          <w:color w:val="000000" w:themeColor="text1"/>
          <w:sz w:val="22"/>
          <w:szCs w:val="22"/>
        </w:rPr>
        <w:t>, którzy nieświadomi</w:t>
      </w:r>
      <w:r w:rsidR="00333930">
        <w:rPr>
          <w:color w:val="000000" w:themeColor="text1"/>
          <w:sz w:val="22"/>
          <w:szCs w:val="22"/>
        </w:rPr>
        <w:t xml:space="preserve"> ryzyka</w:t>
      </w:r>
      <w:r w:rsidR="00E15675" w:rsidRPr="00EC3BB7">
        <w:rPr>
          <w:color w:val="000000" w:themeColor="text1"/>
          <w:sz w:val="22"/>
          <w:szCs w:val="22"/>
        </w:rPr>
        <w:t xml:space="preserve"> p</w:t>
      </w:r>
      <w:r w:rsidR="006C58BD" w:rsidRPr="00EC3BB7">
        <w:rPr>
          <w:color w:val="000000" w:themeColor="text1"/>
          <w:sz w:val="22"/>
          <w:szCs w:val="22"/>
        </w:rPr>
        <w:t xml:space="preserve">owierzali </w:t>
      </w:r>
      <w:r w:rsidR="00E15675" w:rsidRPr="00EC3BB7">
        <w:rPr>
          <w:color w:val="000000" w:themeColor="text1"/>
          <w:sz w:val="22"/>
          <w:szCs w:val="22"/>
        </w:rPr>
        <w:t xml:space="preserve">znaczne sumy pieniędzy podmiotom o wątpliwej reputacji, jak i dla </w:t>
      </w:r>
      <w:r w:rsidR="00333930">
        <w:rPr>
          <w:color w:val="000000" w:themeColor="text1"/>
          <w:sz w:val="22"/>
          <w:szCs w:val="22"/>
        </w:rPr>
        <w:t>bezpieczeńst</w:t>
      </w:r>
      <w:bookmarkStart w:id="0" w:name="_GoBack"/>
      <w:bookmarkEnd w:id="0"/>
      <w:r w:rsidR="00333930">
        <w:rPr>
          <w:color w:val="000000" w:themeColor="text1"/>
          <w:sz w:val="22"/>
          <w:szCs w:val="22"/>
        </w:rPr>
        <w:t>wa polskiego rynku finansowego</w:t>
      </w:r>
      <w:r w:rsidR="00EC3BB7">
        <w:rPr>
          <w:color w:val="000000" w:themeColor="text1"/>
          <w:sz w:val="22"/>
          <w:szCs w:val="22"/>
        </w:rPr>
        <w:t>.</w:t>
      </w:r>
    </w:p>
    <w:p w14:paraId="3CC145B6" w14:textId="6ED526A4" w:rsidR="00223968" w:rsidRPr="00EC3BB7" w:rsidRDefault="00A2794A" w:rsidP="00EE244F">
      <w:pPr>
        <w:spacing w:before="120" w:after="240" w:line="276" w:lineRule="auto"/>
        <w:jc w:val="both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Dodatkowe r</w:t>
      </w:r>
      <w:r w:rsidR="009C4190" w:rsidRPr="00EC3BB7">
        <w:rPr>
          <w:i/>
          <w:color w:val="000000" w:themeColor="text1"/>
          <w:sz w:val="22"/>
          <w:szCs w:val="22"/>
        </w:rPr>
        <w:t>egulacje</w:t>
      </w:r>
      <w:r>
        <w:rPr>
          <w:i/>
          <w:color w:val="000000" w:themeColor="text1"/>
          <w:sz w:val="22"/>
          <w:szCs w:val="22"/>
        </w:rPr>
        <w:t>,</w:t>
      </w:r>
      <w:r w:rsidR="009C4190" w:rsidRPr="00EC3BB7">
        <w:rPr>
          <w:i/>
          <w:color w:val="000000" w:themeColor="text1"/>
          <w:sz w:val="22"/>
          <w:szCs w:val="22"/>
        </w:rPr>
        <w:t xml:space="preserve"> mające na celu ochronę inwestorów,</w:t>
      </w:r>
      <w:r w:rsidR="00BB72D8" w:rsidRPr="00EC3BB7">
        <w:rPr>
          <w:i/>
          <w:color w:val="000000" w:themeColor="text1"/>
          <w:sz w:val="22"/>
          <w:szCs w:val="22"/>
        </w:rPr>
        <w:t xml:space="preserve"> które w minionych miesiącach weszły </w:t>
      </w:r>
      <w:r w:rsidR="000F7274">
        <w:rPr>
          <w:i/>
          <w:color w:val="000000" w:themeColor="text1"/>
          <w:sz w:val="22"/>
          <w:szCs w:val="22"/>
        </w:rPr>
        <w:br/>
      </w:r>
      <w:r w:rsidR="00BB72D8" w:rsidRPr="00EC3BB7">
        <w:rPr>
          <w:i/>
          <w:color w:val="000000" w:themeColor="text1"/>
          <w:sz w:val="22"/>
          <w:szCs w:val="22"/>
        </w:rPr>
        <w:t xml:space="preserve">w życie, zostały </w:t>
      </w:r>
      <w:r w:rsidR="00A85159" w:rsidRPr="00EC3BB7">
        <w:rPr>
          <w:i/>
          <w:color w:val="000000" w:themeColor="text1"/>
          <w:sz w:val="22"/>
          <w:szCs w:val="22"/>
        </w:rPr>
        <w:t xml:space="preserve">skutecznie wdrożone przez krajowe licencjonowane </w:t>
      </w:r>
      <w:r w:rsidR="009C4190" w:rsidRPr="00EC3BB7">
        <w:rPr>
          <w:i/>
          <w:color w:val="000000" w:themeColor="text1"/>
          <w:sz w:val="22"/>
          <w:szCs w:val="22"/>
        </w:rPr>
        <w:t xml:space="preserve">domy maklerskie. Teraz nadszedł czas działań edukacyjnych na szeroką skalę. </w:t>
      </w:r>
      <w:r w:rsidR="00D003D2" w:rsidRPr="00EC3BB7">
        <w:rPr>
          <w:i/>
          <w:color w:val="000000" w:themeColor="text1"/>
          <w:sz w:val="22"/>
          <w:szCs w:val="22"/>
        </w:rPr>
        <w:t>Dzięki</w:t>
      </w:r>
      <w:r w:rsidR="00333930">
        <w:rPr>
          <w:i/>
          <w:color w:val="000000" w:themeColor="text1"/>
          <w:sz w:val="22"/>
          <w:szCs w:val="22"/>
        </w:rPr>
        <w:t xml:space="preserve"> wydanemu przez Izbę </w:t>
      </w:r>
      <w:r w:rsidR="00D003D2" w:rsidRPr="00EC3BB7">
        <w:rPr>
          <w:i/>
          <w:color w:val="000000" w:themeColor="text1"/>
          <w:sz w:val="22"/>
          <w:szCs w:val="22"/>
        </w:rPr>
        <w:t xml:space="preserve">Informatorowi, osoby chcące rozpocząć działalność na rynku inwestycyjnym </w:t>
      </w:r>
      <w:r w:rsidR="000B06EF" w:rsidRPr="00EC3BB7">
        <w:rPr>
          <w:i/>
          <w:color w:val="000000" w:themeColor="text1"/>
          <w:sz w:val="22"/>
          <w:szCs w:val="22"/>
        </w:rPr>
        <w:t>zysk</w:t>
      </w:r>
      <w:r w:rsidR="008F1C81">
        <w:rPr>
          <w:i/>
          <w:color w:val="000000" w:themeColor="text1"/>
          <w:sz w:val="22"/>
          <w:szCs w:val="22"/>
        </w:rPr>
        <w:t>u</w:t>
      </w:r>
      <w:r w:rsidR="000B06EF" w:rsidRPr="00EC3BB7">
        <w:rPr>
          <w:i/>
          <w:color w:val="000000" w:themeColor="text1"/>
          <w:sz w:val="22"/>
          <w:szCs w:val="22"/>
        </w:rPr>
        <w:t>ją przejrzystą listę spraw, na które warto</w:t>
      </w:r>
      <w:r w:rsidR="00D27FD1" w:rsidRPr="00EC3BB7">
        <w:rPr>
          <w:i/>
          <w:color w:val="000000" w:themeColor="text1"/>
          <w:sz w:val="22"/>
          <w:szCs w:val="22"/>
        </w:rPr>
        <w:t>, a wręcz należy</w:t>
      </w:r>
      <w:r w:rsidR="000B06EF" w:rsidRPr="00EC3BB7">
        <w:rPr>
          <w:i/>
          <w:color w:val="000000" w:themeColor="text1"/>
          <w:sz w:val="22"/>
          <w:szCs w:val="22"/>
        </w:rPr>
        <w:t xml:space="preserve"> zwrócić uwagę</w:t>
      </w:r>
      <w:r w:rsidR="00EC3BB7">
        <w:rPr>
          <w:color w:val="000000" w:themeColor="text1"/>
          <w:sz w:val="22"/>
          <w:szCs w:val="22"/>
        </w:rPr>
        <w:t xml:space="preserve"> </w:t>
      </w:r>
      <w:r w:rsidR="00EC3BB7">
        <w:rPr>
          <w:i/>
          <w:color w:val="000000" w:themeColor="text1"/>
          <w:sz w:val="22"/>
          <w:szCs w:val="22"/>
        </w:rPr>
        <w:t>–</w:t>
      </w:r>
      <w:r w:rsidR="00EC3BB7" w:rsidRPr="00635373">
        <w:rPr>
          <w:color w:val="000000" w:themeColor="text1"/>
          <w:sz w:val="22"/>
          <w:szCs w:val="22"/>
        </w:rPr>
        <w:t> mówi Marek Wołos, ekspert IDM ds. rynków OTC instrumentów pochodnych.</w:t>
      </w:r>
    </w:p>
    <w:p w14:paraId="16B4EC2E" w14:textId="02384709" w:rsidR="00223968" w:rsidRDefault="00FE2EB1" w:rsidP="00EE244F">
      <w:pPr>
        <w:spacing w:before="120" w:after="240" w:line="276" w:lineRule="auto"/>
        <w:jc w:val="both"/>
        <w:rPr>
          <w:color w:val="000000" w:themeColor="text1"/>
          <w:sz w:val="22"/>
          <w:szCs w:val="22"/>
        </w:rPr>
      </w:pPr>
      <w:r w:rsidRPr="00635373">
        <w:rPr>
          <w:color w:val="000000" w:themeColor="text1"/>
          <w:sz w:val="22"/>
          <w:szCs w:val="22"/>
        </w:rPr>
        <w:t xml:space="preserve">Materiał </w:t>
      </w:r>
      <w:r w:rsidR="006D31F3" w:rsidRPr="00635373">
        <w:rPr>
          <w:color w:val="000000" w:themeColor="text1"/>
          <w:sz w:val="22"/>
          <w:szCs w:val="22"/>
        </w:rPr>
        <w:t xml:space="preserve">przygotowany przez Izbę Domów Maklerskich </w:t>
      </w:r>
      <w:r w:rsidRPr="00635373">
        <w:rPr>
          <w:color w:val="000000" w:themeColor="text1"/>
          <w:sz w:val="22"/>
          <w:szCs w:val="22"/>
        </w:rPr>
        <w:t xml:space="preserve">omawia </w:t>
      </w:r>
      <w:r w:rsidR="006D31F3" w:rsidRPr="00635373">
        <w:rPr>
          <w:color w:val="000000" w:themeColor="text1"/>
          <w:sz w:val="22"/>
          <w:szCs w:val="22"/>
        </w:rPr>
        <w:t xml:space="preserve">podstawowe zasady </w:t>
      </w:r>
      <w:r w:rsidRPr="00635373">
        <w:rPr>
          <w:color w:val="000000" w:themeColor="text1"/>
          <w:sz w:val="22"/>
          <w:szCs w:val="22"/>
        </w:rPr>
        <w:t>bezpiecznego inwestowania</w:t>
      </w:r>
      <w:r w:rsidR="006D31F3" w:rsidRPr="00635373">
        <w:rPr>
          <w:color w:val="000000" w:themeColor="text1"/>
          <w:sz w:val="22"/>
          <w:szCs w:val="22"/>
        </w:rPr>
        <w:t xml:space="preserve"> bazując na sześciu kluczowych elementach,</w:t>
      </w:r>
      <w:r w:rsidR="006C58BD">
        <w:rPr>
          <w:color w:val="000000" w:themeColor="text1"/>
          <w:sz w:val="22"/>
          <w:szCs w:val="22"/>
        </w:rPr>
        <w:t xml:space="preserve"> które szczegółowo opisane są </w:t>
      </w:r>
      <w:r w:rsidR="000F7274">
        <w:rPr>
          <w:color w:val="000000" w:themeColor="text1"/>
          <w:sz w:val="22"/>
          <w:szCs w:val="22"/>
        </w:rPr>
        <w:br/>
      </w:r>
      <w:r w:rsidR="006C58BD">
        <w:rPr>
          <w:color w:val="000000" w:themeColor="text1"/>
          <w:sz w:val="22"/>
          <w:szCs w:val="22"/>
        </w:rPr>
        <w:t>w poszczególnych rozdziałach Informatora.</w:t>
      </w:r>
    </w:p>
    <w:p w14:paraId="3B2F3F37" w14:textId="4409D5A6" w:rsidR="00223968" w:rsidRDefault="003915E0" w:rsidP="00EE244F">
      <w:pPr>
        <w:spacing w:before="120" w:after="240" w:line="276" w:lineRule="auto"/>
        <w:jc w:val="both"/>
        <w:rPr>
          <w:b/>
          <w:color w:val="000000" w:themeColor="text1"/>
          <w:sz w:val="22"/>
          <w:szCs w:val="22"/>
        </w:rPr>
      </w:pPr>
      <w:r w:rsidRPr="00635373">
        <w:rPr>
          <w:i/>
          <w:color w:val="000000" w:themeColor="text1"/>
          <w:sz w:val="22"/>
          <w:szCs w:val="22"/>
        </w:rPr>
        <w:t>Inwestorzy muszą być świadomi z kim podejmują współpracę, na jakich warunkach i co się z tym wiąż</w:t>
      </w:r>
      <w:r w:rsidR="007C3DD7" w:rsidRPr="00635373">
        <w:rPr>
          <w:i/>
          <w:color w:val="000000" w:themeColor="text1"/>
          <w:sz w:val="22"/>
          <w:szCs w:val="22"/>
        </w:rPr>
        <w:t>e. Aby u</w:t>
      </w:r>
      <w:r w:rsidR="00974AAB" w:rsidRPr="00635373">
        <w:rPr>
          <w:i/>
          <w:color w:val="000000" w:themeColor="text1"/>
          <w:sz w:val="22"/>
          <w:szCs w:val="22"/>
        </w:rPr>
        <w:t>łatwić im zrozumienie sytuacji</w:t>
      </w:r>
      <w:r w:rsidR="007C3DD7" w:rsidRPr="00635373">
        <w:rPr>
          <w:i/>
          <w:color w:val="000000" w:themeColor="text1"/>
          <w:sz w:val="22"/>
          <w:szCs w:val="22"/>
        </w:rPr>
        <w:t xml:space="preserve"> Izb</w:t>
      </w:r>
      <w:r w:rsidR="00974AAB" w:rsidRPr="00635373">
        <w:rPr>
          <w:i/>
          <w:color w:val="000000" w:themeColor="text1"/>
          <w:sz w:val="22"/>
          <w:szCs w:val="22"/>
        </w:rPr>
        <w:t>a przygotowała</w:t>
      </w:r>
      <w:r w:rsidR="007C3DD7" w:rsidRPr="00635373">
        <w:rPr>
          <w:i/>
          <w:color w:val="000000" w:themeColor="text1"/>
          <w:sz w:val="22"/>
          <w:szCs w:val="22"/>
        </w:rPr>
        <w:t xml:space="preserve"> </w:t>
      </w:r>
      <w:r w:rsidR="008F1C81">
        <w:rPr>
          <w:i/>
          <w:color w:val="000000" w:themeColor="text1"/>
          <w:sz w:val="22"/>
          <w:szCs w:val="22"/>
        </w:rPr>
        <w:t xml:space="preserve">bardzo </w:t>
      </w:r>
      <w:r w:rsidR="007C3DD7" w:rsidRPr="00635373">
        <w:rPr>
          <w:i/>
          <w:color w:val="000000" w:themeColor="text1"/>
          <w:sz w:val="22"/>
          <w:szCs w:val="22"/>
        </w:rPr>
        <w:t xml:space="preserve">szczegółowy </w:t>
      </w:r>
      <w:r w:rsidR="008F1C81">
        <w:rPr>
          <w:i/>
          <w:color w:val="000000" w:themeColor="text1"/>
          <w:sz w:val="22"/>
          <w:szCs w:val="22"/>
        </w:rPr>
        <w:t>dokument</w:t>
      </w:r>
      <w:r w:rsidR="007C3DD7" w:rsidRPr="00635373">
        <w:rPr>
          <w:i/>
          <w:color w:val="000000" w:themeColor="text1"/>
          <w:sz w:val="22"/>
          <w:szCs w:val="22"/>
        </w:rPr>
        <w:t xml:space="preserve">, w którym </w:t>
      </w:r>
      <w:r w:rsidR="000F7274">
        <w:rPr>
          <w:i/>
          <w:color w:val="000000" w:themeColor="text1"/>
          <w:sz w:val="22"/>
          <w:szCs w:val="22"/>
        </w:rPr>
        <w:br/>
      </w:r>
      <w:r w:rsidR="007C3DD7" w:rsidRPr="00635373">
        <w:rPr>
          <w:i/>
          <w:color w:val="000000" w:themeColor="text1"/>
          <w:sz w:val="22"/>
          <w:szCs w:val="22"/>
        </w:rPr>
        <w:t>w prz</w:t>
      </w:r>
      <w:r w:rsidR="00974AAB" w:rsidRPr="00635373">
        <w:rPr>
          <w:i/>
          <w:color w:val="000000" w:themeColor="text1"/>
          <w:sz w:val="22"/>
          <w:szCs w:val="22"/>
        </w:rPr>
        <w:t xml:space="preserve">ystępny sposób przedstawiliśmy jak w łatwy </w:t>
      </w:r>
      <w:r w:rsidR="007C3DD7" w:rsidRPr="00635373">
        <w:rPr>
          <w:i/>
          <w:color w:val="000000" w:themeColor="text1"/>
          <w:sz w:val="22"/>
          <w:szCs w:val="22"/>
        </w:rPr>
        <w:t xml:space="preserve">sposób </w:t>
      </w:r>
      <w:r w:rsidR="00974AAB" w:rsidRPr="00635373">
        <w:rPr>
          <w:i/>
          <w:color w:val="000000" w:themeColor="text1"/>
          <w:sz w:val="22"/>
          <w:szCs w:val="22"/>
        </w:rPr>
        <w:t>odróżnić</w:t>
      </w:r>
      <w:r w:rsidR="007C3DD7" w:rsidRPr="00635373">
        <w:rPr>
          <w:i/>
          <w:color w:val="000000" w:themeColor="text1"/>
          <w:sz w:val="22"/>
          <w:szCs w:val="22"/>
        </w:rPr>
        <w:t xml:space="preserve"> </w:t>
      </w:r>
      <w:r w:rsidR="00FA02CD" w:rsidRPr="00635373">
        <w:rPr>
          <w:i/>
          <w:color w:val="000000" w:themeColor="text1"/>
          <w:sz w:val="22"/>
          <w:szCs w:val="22"/>
        </w:rPr>
        <w:t xml:space="preserve">podmiot </w:t>
      </w:r>
      <w:r w:rsidR="00974AAB" w:rsidRPr="00635373">
        <w:rPr>
          <w:i/>
          <w:color w:val="000000" w:themeColor="text1"/>
          <w:sz w:val="22"/>
          <w:szCs w:val="22"/>
        </w:rPr>
        <w:t>licencjonowany od firm działających w szarej strefie</w:t>
      </w:r>
      <w:r w:rsidR="00FA02CD" w:rsidRPr="00635373">
        <w:rPr>
          <w:i/>
          <w:color w:val="000000" w:themeColor="text1"/>
          <w:sz w:val="22"/>
          <w:szCs w:val="22"/>
        </w:rPr>
        <w:t xml:space="preserve"> </w:t>
      </w:r>
      <w:r w:rsidR="00974AAB" w:rsidRPr="00635373">
        <w:rPr>
          <w:i/>
          <w:color w:val="000000" w:themeColor="text1"/>
          <w:sz w:val="22"/>
          <w:szCs w:val="22"/>
        </w:rPr>
        <w:t>oraz jakie</w:t>
      </w:r>
      <w:r w:rsidR="00FA02CD" w:rsidRPr="00635373">
        <w:rPr>
          <w:i/>
          <w:color w:val="000000" w:themeColor="text1"/>
          <w:sz w:val="22"/>
          <w:szCs w:val="22"/>
        </w:rPr>
        <w:t xml:space="preserve"> działania powinniśmy podjąć, przed powierzen</w:t>
      </w:r>
      <w:r w:rsidR="0073521B" w:rsidRPr="00635373">
        <w:rPr>
          <w:i/>
          <w:color w:val="000000" w:themeColor="text1"/>
          <w:sz w:val="22"/>
          <w:szCs w:val="22"/>
        </w:rPr>
        <w:t xml:space="preserve">iem funduszy danej organizacji </w:t>
      </w:r>
      <w:r w:rsidR="0073521B" w:rsidRPr="00635373">
        <w:rPr>
          <w:color w:val="000000" w:themeColor="text1"/>
          <w:sz w:val="22"/>
          <w:szCs w:val="22"/>
        </w:rPr>
        <w:t>– dodaje Marek Wołos.</w:t>
      </w:r>
    </w:p>
    <w:p w14:paraId="5590F2BE" w14:textId="4E02EE59" w:rsidR="00AC544E" w:rsidRDefault="009D2B5D" w:rsidP="00EE244F">
      <w:pPr>
        <w:spacing w:before="120" w:after="240" w:line="276" w:lineRule="auto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Izba kontynuuje prace nad pozyskiwaniem kolejnych </w:t>
      </w:r>
      <w:r w:rsidR="00237426">
        <w:rPr>
          <w:rFonts w:eastAsia="Times New Roman" w:cs="Times New Roman"/>
          <w:color w:val="000000"/>
          <w:sz w:val="22"/>
          <w:szCs w:val="22"/>
          <w:lang w:eastAsia="pl-PL"/>
        </w:rPr>
        <w:t xml:space="preserve">partnerów w zakresie edukacji uczestników 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rynku kapitałowego. </w:t>
      </w:r>
      <w:r w:rsidR="008F1C81" w:rsidRPr="00635373">
        <w:rPr>
          <w:color w:val="000000" w:themeColor="text1"/>
          <w:sz w:val="22"/>
          <w:szCs w:val="22"/>
        </w:rPr>
        <w:t>Materiał został skierowany do konsultacji z Urzędem Komisji Nadzoru Finansowego oraz Urzędem Rzecznika Finansow</w:t>
      </w:r>
      <w:r w:rsidR="008F1C81">
        <w:rPr>
          <w:color w:val="000000" w:themeColor="text1"/>
          <w:sz w:val="22"/>
          <w:szCs w:val="22"/>
        </w:rPr>
        <w:t>e</w:t>
      </w:r>
      <w:r w:rsidR="008F1C81" w:rsidRPr="00635373">
        <w:rPr>
          <w:color w:val="000000" w:themeColor="text1"/>
          <w:sz w:val="22"/>
          <w:szCs w:val="22"/>
        </w:rPr>
        <w:t>go. Wspólnym celem będzie ścisła współpraca na rzecz właściwej edukacji otoczenia rynkowego i ochrony klientów domów maklerskich.</w:t>
      </w:r>
      <w:r w:rsidR="008F1C81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Ponadto w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 najbliższych tygodniach pod </w:t>
      </w:r>
      <w:r w:rsidR="00212C32">
        <w:rPr>
          <w:rFonts w:eastAsia="Times New Roman" w:cs="Times New Roman"/>
          <w:color w:val="000000"/>
          <w:sz w:val="22"/>
          <w:szCs w:val="22"/>
          <w:lang w:eastAsia="pl-PL"/>
        </w:rPr>
        <w:t>patronatem</w:t>
      </w:r>
      <w:r w:rsidR="008F1C81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Izby</w:t>
      </w:r>
      <w:r w:rsidR="00212C32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– na XVII Konferencji IDM w Bukowinie oraz podczas Kongresu </w:t>
      </w:r>
      <w:proofErr w:type="spellStart"/>
      <w:r w:rsidR="00212C32">
        <w:rPr>
          <w:rFonts w:eastAsia="Times New Roman" w:cs="Times New Roman"/>
          <w:color w:val="000000"/>
          <w:sz w:val="22"/>
          <w:szCs w:val="22"/>
          <w:lang w:eastAsia="pl-PL"/>
        </w:rPr>
        <w:t>FxCuffs</w:t>
      </w:r>
      <w:proofErr w:type="spellEnd"/>
      <w:r w:rsidR="00212C32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r w:rsidR="00212C32">
        <w:rPr>
          <w:rFonts w:eastAsia="Times New Roman" w:cs="Times New Roman"/>
          <w:color w:val="000000"/>
          <w:sz w:val="22"/>
          <w:szCs w:val="22"/>
          <w:lang w:eastAsia="pl-PL"/>
        </w:rPr>
        <w:lastRenderedPageBreak/>
        <w:t xml:space="preserve">w Krakowie – odbędą się dyskusje </w:t>
      </w:r>
      <w:r w:rsidR="00AC544E">
        <w:rPr>
          <w:rFonts w:eastAsia="Times New Roman" w:cs="Times New Roman"/>
          <w:color w:val="000000"/>
          <w:sz w:val="22"/>
          <w:szCs w:val="22"/>
          <w:lang w:eastAsia="pl-PL"/>
        </w:rPr>
        <w:t xml:space="preserve">m.in. jak działać, aby polski rynek finansowy mógł wspierać rozwój polskiej </w:t>
      </w:r>
      <w:r w:rsidR="009C23FD">
        <w:rPr>
          <w:rFonts w:eastAsia="Times New Roman" w:cs="Times New Roman"/>
          <w:color w:val="000000"/>
          <w:sz w:val="22"/>
          <w:szCs w:val="22"/>
          <w:lang w:eastAsia="pl-PL"/>
        </w:rPr>
        <w:t xml:space="preserve">gospodarki i jak go kształtować, </w:t>
      </w:r>
      <w:r w:rsidR="00AC544E">
        <w:rPr>
          <w:rFonts w:eastAsia="Times New Roman" w:cs="Times New Roman"/>
          <w:color w:val="000000"/>
          <w:sz w:val="22"/>
          <w:szCs w:val="22"/>
          <w:lang w:eastAsia="pl-PL"/>
        </w:rPr>
        <w:t xml:space="preserve">aby polski kapitał i rodzime instytucje, w tym domy maklerskie, mogły </w:t>
      </w:r>
      <w:r w:rsidR="008F1C81">
        <w:rPr>
          <w:rFonts w:eastAsia="Times New Roman" w:cs="Times New Roman"/>
          <w:color w:val="000000"/>
          <w:sz w:val="22"/>
          <w:szCs w:val="22"/>
          <w:lang w:eastAsia="pl-PL"/>
        </w:rPr>
        <w:t xml:space="preserve">na nim </w:t>
      </w:r>
      <w:r w:rsidR="00AC544E">
        <w:rPr>
          <w:rFonts w:eastAsia="Times New Roman" w:cs="Times New Roman"/>
          <w:color w:val="000000"/>
          <w:sz w:val="22"/>
          <w:szCs w:val="22"/>
          <w:lang w:eastAsia="pl-PL"/>
        </w:rPr>
        <w:t>efektywnie i bezpiecznie funkcjonować.</w:t>
      </w:r>
    </w:p>
    <w:p w14:paraId="0E3FC20C" w14:textId="77777777" w:rsidR="00EE244F" w:rsidRDefault="00EE244F" w:rsidP="00EE244F">
      <w:pPr>
        <w:spacing w:before="120" w:after="240" w:line="276" w:lineRule="auto"/>
        <w:jc w:val="both"/>
        <w:rPr>
          <w:color w:val="000000" w:themeColor="text1"/>
          <w:sz w:val="22"/>
          <w:szCs w:val="22"/>
        </w:rPr>
      </w:pPr>
    </w:p>
    <w:p w14:paraId="2795E077" w14:textId="77777777" w:rsidR="00EE244F" w:rsidRPr="00F411E5" w:rsidRDefault="00EE244F" w:rsidP="00EE244F">
      <w:pPr>
        <w:spacing w:before="120" w:after="240" w:line="276" w:lineRule="auto"/>
        <w:jc w:val="center"/>
        <w:rPr>
          <w:rFonts w:cs="Arial"/>
          <w:sz w:val="20"/>
          <w:szCs w:val="20"/>
        </w:rPr>
      </w:pPr>
      <w:r w:rsidRPr="00F411E5">
        <w:rPr>
          <w:rFonts w:cs="Arial"/>
          <w:sz w:val="20"/>
          <w:szCs w:val="20"/>
        </w:rPr>
        <w:t>* * * * *</w:t>
      </w:r>
    </w:p>
    <w:p w14:paraId="3BD0FA77" w14:textId="77777777" w:rsidR="00EE244F" w:rsidRPr="00F411E5" w:rsidRDefault="00EE244F" w:rsidP="00EE244F">
      <w:pPr>
        <w:spacing w:before="120" w:after="240" w:line="276" w:lineRule="auto"/>
        <w:jc w:val="both"/>
        <w:rPr>
          <w:rFonts w:cs="Arial"/>
          <w:b/>
          <w:sz w:val="20"/>
          <w:szCs w:val="20"/>
        </w:rPr>
      </w:pPr>
      <w:r w:rsidRPr="00F411E5">
        <w:rPr>
          <w:rFonts w:cs="Arial"/>
          <w:b/>
          <w:sz w:val="20"/>
          <w:szCs w:val="20"/>
        </w:rPr>
        <w:t>O Izbie Domów Maklerskich</w:t>
      </w:r>
    </w:p>
    <w:p w14:paraId="5B257AC6" w14:textId="77777777" w:rsidR="00EE244F" w:rsidRPr="00F411E5" w:rsidRDefault="00EE244F" w:rsidP="00EE244F">
      <w:pPr>
        <w:widowControl w:val="0"/>
        <w:autoSpaceDE w:val="0"/>
        <w:autoSpaceDN w:val="0"/>
        <w:adjustRightInd w:val="0"/>
        <w:spacing w:before="120" w:after="240" w:line="276" w:lineRule="auto"/>
        <w:jc w:val="both"/>
        <w:rPr>
          <w:rFonts w:cs="Arial"/>
          <w:i/>
          <w:color w:val="262626"/>
          <w:sz w:val="20"/>
          <w:szCs w:val="20"/>
        </w:rPr>
      </w:pPr>
      <w:r w:rsidRPr="00F411E5">
        <w:rPr>
          <w:rFonts w:cs="Arial"/>
          <w:i/>
          <w:color w:val="262626"/>
          <w:sz w:val="20"/>
          <w:szCs w:val="20"/>
        </w:rPr>
        <w:t>Izba Domów Maklerskich to największa niezależna samorządowa organizacja środowiska pracodawców domów i biur maklerskich w Polsce, obecnie zrzeszająca 23 członków.</w:t>
      </w:r>
    </w:p>
    <w:p w14:paraId="47E3EC13" w14:textId="77777777" w:rsidR="00EE244F" w:rsidRPr="00F411E5" w:rsidRDefault="00EE244F" w:rsidP="00EE244F">
      <w:pPr>
        <w:widowControl w:val="0"/>
        <w:autoSpaceDE w:val="0"/>
        <w:autoSpaceDN w:val="0"/>
        <w:adjustRightInd w:val="0"/>
        <w:spacing w:before="120" w:after="240" w:line="276" w:lineRule="auto"/>
        <w:jc w:val="both"/>
        <w:rPr>
          <w:rFonts w:cs="Arial"/>
          <w:i/>
          <w:color w:val="262626"/>
          <w:sz w:val="20"/>
          <w:szCs w:val="20"/>
        </w:rPr>
      </w:pPr>
      <w:r w:rsidRPr="00F411E5">
        <w:rPr>
          <w:rFonts w:cs="Arial"/>
          <w:i/>
          <w:color w:val="262626"/>
          <w:sz w:val="20"/>
          <w:szCs w:val="20"/>
        </w:rPr>
        <w:t>Domy maklerskie odgrywają istotną rolę w rozwoju rynku kapitałowego i gospodarki. Pozyskują kapitał dla przedsiębiorstw, doradzają inwestorom w zakupie akcji na rynku pierwotnym oraz transakcjach na giełdzie papierów wartościowych. Domy maklerskie wspierają rozwój konkurencyjnego rynku kapitałowego oraz przyczyniają się do wzrostu gospodarczego w Polsce.</w:t>
      </w:r>
    </w:p>
    <w:p w14:paraId="0DE46F32" w14:textId="77777777" w:rsidR="00EE244F" w:rsidRPr="00F411E5" w:rsidRDefault="00EE244F" w:rsidP="00EE244F">
      <w:pPr>
        <w:widowControl w:val="0"/>
        <w:autoSpaceDE w:val="0"/>
        <w:autoSpaceDN w:val="0"/>
        <w:adjustRightInd w:val="0"/>
        <w:spacing w:before="120" w:after="240" w:line="276" w:lineRule="auto"/>
        <w:jc w:val="both"/>
        <w:rPr>
          <w:rFonts w:cs="Arial"/>
          <w:i/>
          <w:color w:val="262626"/>
          <w:sz w:val="20"/>
          <w:szCs w:val="20"/>
        </w:rPr>
      </w:pPr>
      <w:r w:rsidRPr="00F411E5">
        <w:rPr>
          <w:rFonts w:cs="Arial"/>
          <w:i/>
          <w:color w:val="262626"/>
          <w:sz w:val="20"/>
          <w:szCs w:val="20"/>
        </w:rPr>
        <w:t>Przez ponad 20 lat Izba zaangażowania w rozwój polskiego rynku kapitałowego, współpracując z rządem polskim</w:t>
      </w:r>
      <w:r w:rsidRPr="00F411E5">
        <w:rPr>
          <w:rFonts w:eastAsia="MingLiU" w:cs="MingLiU"/>
          <w:i/>
          <w:color w:val="262626"/>
          <w:sz w:val="20"/>
          <w:szCs w:val="20"/>
        </w:rPr>
        <w:t xml:space="preserve"> </w:t>
      </w:r>
      <w:r w:rsidRPr="00F411E5">
        <w:rPr>
          <w:rFonts w:cs="Arial"/>
          <w:i/>
          <w:color w:val="262626"/>
          <w:sz w:val="20"/>
          <w:szCs w:val="20"/>
        </w:rPr>
        <w:t>i organizacjami rynku kapitałowego. Pracami Izby kieruje Zarząd, w składzie Waldemar Markiewicz (Prezes Zarządu) i Piotr Sobków (Członek Zarządu).</w:t>
      </w:r>
    </w:p>
    <w:p w14:paraId="2F493C2A" w14:textId="617EAAD1" w:rsidR="00EE244F" w:rsidRPr="00EE244F" w:rsidRDefault="00EE244F" w:rsidP="000F7274">
      <w:pPr>
        <w:widowControl w:val="0"/>
        <w:autoSpaceDE w:val="0"/>
        <w:autoSpaceDN w:val="0"/>
        <w:adjustRightInd w:val="0"/>
        <w:spacing w:before="120" w:after="240" w:line="276" w:lineRule="auto"/>
        <w:jc w:val="both"/>
        <w:rPr>
          <w:rFonts w:eastAsia="Times New Roman" w:cs="Times New Roman"/>
          <w:color w:val="000000"/>
          <w:sz w:val="22"/>
          <w:szCs w:val="22"/>
          <w:lang w:val="en-US" w:eastAsia="pl-PL"/>
        </w:rPr>
      </w:pPr>
      <w:proofErr w:type="spellStart"/>
      <w:r w:rsidRPr="000F7274">
        <w:rPr>
          <w:rFonts w:cs="Arial"/>
          <w:i/>
          <w:color w:val="262626"/>
          <w:sz w:val="20"/>
          <w:szCs w:val="20"/>
          <w:lang w:val="en-US"/>
        </w:rPr>
        <w:t>Izba</w:t>
      </w:r>
      <w:proofErr w:type="spellEnd"/>
      <w:r w:rsidRPr="000F7274">
        <w:rPr>
          <w:rFonts w:cs="Arial"/>
          <w:i/>
          <w:color w:val="262626"/>
          <w:sz w:val="20"/>
          <w:szCs w:val="20"/>
          <w:lang w:val="en-US"/>
        </w:rPr>
        <w:t xml:space="preserve"> </w:t>
      </w:r>
      <w:proofErr w:type="spellStart"/>
      <w:r w:rsidRPr="000F7274">
        <w:rPr>
          <w:rFonts w:cs="Arial"/>
          <w:i/>
          <w:color w:val="262626"/>
          <w:sz w:val="20"/>
          <w:szCs w:val="20"/>
          <w:lang w:val="en-US"/>
        </w:rPr>
        <w:t>Domów</w:t>
      </w:r>
      <w:proofErr w:type="spellEnd"/>
      <w:r w:rsidRPr="000F7274">
        <w:rPr>
          <w:rFonts w:cs="Arial"/>
          <w:i/>
          <w:color w:val="262626"/>
          <w:sz w:val="20"/>
          <w:szCs w:val="20"/>
          <w:lang w:val="en-US"/>
        </w:rPr>
        <w:t xml:space="preserve"> </w:t>
      </w:r>
      <w:proofErr w:type="spellStart"/>
      <w:r w:rsidRPr="000F7274">
        <w:rPr>
          <w:rFonts w:cs="Arial"/>
          <w:i/>
          <w:color w:val="262626"/>
          <w:sz w:val="20"/>
          <w:szCs w:val="20"/>
          <w:lang w:val="en-US"/>
        </w:rPr>
        <w:t>Maklerskich</w:t>
      </w:r>
      <w:proofErr w:type="spellEnd"/>
      <w:r w:rsidRPr="000F7274">
        <w:rPr>
          <w:rFonts w:cs="Arial"/>
          <w:i/>
          <w:color w:val="262626"/>
          <w:sz w:val="20"/>
          <w:szCs w:val="20"/>
          <w:lang w:val="en-US"/>
        </w:rPr>
        <w:t xml:space="preserve"> jest </w:t>
      </w:r>
      <w:proofErr w:type="spellStart"/>
      <w:r w:rsidRPr="000F7274">
        <w:rPr>
          <w:rFonts w:cs="Arial"/>
          <w:i/>
          <w:color w:val="262626"/>
          <w:sz w:val="20"/>
          <w:szCs w:val="20"/>
          <w:lang w:val="en-US"/>
        </w:rPr>
        <w:t>członkiem</w:t>
      </w:r>
      <w:proofErr w:type="spellEnd"/>
      <w:r w:rsidRPr="00F411E5">
        <w:rPr>
          <w:rFonts w:cs="Arial"/>
          <w:i/>
          <w:color w:val="262626"/>
          <w:sz w:val="20"/>
          <w:szCs w:val="20"/>
          <w:lang w:val="en-US"/>
        </w:rPr>
        <w:t xml:space="preserve"> </w:t>
      </w:r>
      <w:r w:rsidRPr="00F411E5">
        <w:rPr>
          <w:rFonts w:cs="Arial"/>
          <w:i/>
          <w:color w:val="262626"/>
          <w:sz w:val="20"/>
          <w:szCs w:val="20"/>
          <w:lang w:val="en-GB"/>
        </w:rPr>
        <w:t>The European Forum of Securities Associations</w:t>
      </w:r>
      <w:r w:rsidRPr="00F411E5">
        <w:rPr>
          <w:rFonts w:cs="Arial"/>
          <w:i/>
          <w:color w:val="262626"/>
          <w:sz w:val="20"/>
          <w:szCs w:val="20"/>
          <w:lang w:val="en-US"/>
        </w:rPr>
        <w:t>.</w:t>
      </w:r>
    </w:p>
    <w:sectPr w:rsidR="00EE244F" w:rsidRPr="00EE244F" w:rsidSect="00C97171">
      <w:headerReference w:type="default" r:id="rId7"/>
      <w:footerReference w:type="default" r:id="rId8"/>
      <w:pgSz w:w="11900" w:h="16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366EB" w14:textId="77777777" w:rsidR="00AB78E6" w:rsidRDefault="00AB78E6" w:rsidP="000C5549">
      <w:r>
        <w:separator/>
      </w:r>
    </w:p>
  </w:endnote>
  <w:endnote w:type="continuationSeparator" w:id="0">
    <w:p w14:paraId="694EFDAC" w14:textId="77777777" w:rsidR="00AB78E6" w:rsidRDefault="00AB78E6" w:rsidP="000C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19D38" w14:textId="77777777" w:rsidR="00C97171" w:rsidRPr="00C97171" w:rsidRDefault="00C97171" w:rsidP="00C97171">
    <w:pPr>
      <w:pStyle w:val="p1"/>
      <w:rPr>
        <w:rFonts w:ascii="Calibri" w:hAnsi="Calibri"/>
        <w:b/>
        <w:color w:val="auto"/>
        <w:sz w:val="20"/>
      </w:rPr>
    </w:pPr>
    <w:r w:rsidRPr="00C97171">
      <w:rPr>
        <w:rFonts w:ascii="Calibri" w:hAnsi="Calibri"/>
        <w:b/>
        <w:color w:val="auto"/>
        <w:sz w:val="20"/>
      </w:rPr>
      <w:t>Kontakt dla mediów:</w:t>
    </w:r>
  </w:p>
  <w:p w14:paraId="03E93AF9" w14:textId="77777777" w:rsidR="00C97171" w:rsidRPr="00C97171" w:rsidRDefault="00C97171" w:rsidP="00C97171">
    <w:pPr>
      <w:pStyle w:val="p1"/>
      <w:rPr>
        <w:rFonts w:ascii="Calibri" w:hAnsi="Calibri"/>
        <w:color w:val="auto"/>
        <w:sz w:val="20"/>
      </w:rPr>
    </w:pPr>
    <w:r w:rsidRPr="00C97171">
      <w:rPr>
        <w:rFonts w:ascii="Calibri" w:hAnsi="Calibri"/>
        <w:color w:val="auto"/>
        <w:sz w:val="20"/>
      </w:rPr>
      <w:t>Marek Wołos</w:t>
    </w:r>
  </w:p>
  <w:p w14:paraId="25881CD4" w14:textId="77777777" w:rsidR="00C97171" w:rsidRPr="00C97171" w:rsidRDefault="00C97171" w:rsidP="00C97171">
    <w:pPr>
      <w:rPr>
        <w:rFonts w:ascii="Calibri" w:hAnsi="Calibri" w:cs="Times New Roman"/>
        <w:sz w:val="20"/>
        <w:szCs w:val="18"/>
        <w:lang w:eastAsia="pl-PL"/>
      </w:rPr>
    </w:pPr>
    <w:r w:rsidRPr="00C97171">
      <w:rPr>
        <w:rFonts w:ascii="Calibri" w:hAnsi="Calibri" w:cs="Times New Roman"/>
        <w:sz w:val="20"/>
        <w:szCs w:val="18"/>
        <w:lang w:eastAsia="pl-PL"/>
      </w:rPr>
      <w:t>Ekspert</w:t>
    </w:r>
    <w:r>
      <w:rPr>
        <w:rFonts w:ascii="Calibri" w:hAnsi="Calibri" w:cs="Times New Roman"/>
        <w:sz w:val="20"/>
        <w:szCs w:val="18"/>
        <w:lang w:eastAsia="pl-PL"/>
      </w:rPr>
      <w:t xml:space="preserve"> ds.</w:t>
    </w:r>
    <w:r w:rsidRPr="00C97171">
      <w:rPr>
        <w:rFonts w:ascii="Calibri" w:hAnsi="Calibri" w:cs="Times New Roman"/>
        <w:sz w:val="20"/>
        <w:szCs w:val="18"/>
        <w:lang w:eastAsia="pl-PL"/>
      </w:rPr>
      <w:t xml:space="preserve"> rynków OTC</w:t>
    </w:r>
  </w:p>
  <w:p w14:paraId="71C6B798" w14:textId="77777777" w:rsidR="00C97171" w:rsidRPr="00C97171" w:rsidRDefault="00C97171" w:rsidP="00C97171">
    <w:pPr>
      <w:rPr>
        <w:rFonts w:ascii="Calibri" w:hAnsi="Calibri" w:cs="Times New Roman"/>
        <w:sz w:val="20"/>
        <w:szCs w:val="18"/>
        <w:lang w:eastAsia="pl-PL"/>
      </w:rPr>
    </w:pPr>
    <w:r w:rsidRPr="00C97171">
      <w:rPr>
        <w:rFonts w:ascii="Calibri" w:hAnsi="Calibri" w:cs="Times New Roman"/>
        <w:sz w:val="20"/>
        <w:szCs w:val="18"/>
        <w:lang w:eastAsia="pl-PL"/>
      </w:rPr>
      <w:t>Izba Domów Maklerskich</w:t>
    </w:r>
  </w:p>
  <w:p w14:paraId="6F7E4677" w14:textId="77777777" w:rsidR="00C97171" w:rsidRPr="004F1B21" w:rsidRDefault="00C97171" w:rsidP="00C97171">
    <w:pPr>
      <w:rPr>
        <w:rFonts w:ascii="Calibri" w:hAnsi="Calibri" w:cs="Times New Roman"/>
        <w:sz w:val="20"/>
        <w:szCs w:val="18"/>
        <w:lang w:eastAsia="pl-PL"/>
      </w:rPr>
    </w:pPr>
    <w:r w:rsidRPr="004F1B21">
      <w:rPr>
        <w:rFonts w:ascii="Calibri" w:hAnsi="Calibri" w:cs="Times New Roman"/>
        <w:sz w:val="20"/>
        <w:szCs w:val="18"/>
        <w:lang w:eastAsia="pl-PL"/>
      </w:rPr>
      <w:t>Tel.: +48 602.305.705</w:t>
    </w:r>
    <w:r w:rsidRPr="004F1B21">
      <w:rPr>
        <w:rFonts w:ascii="Helvetica" w:hAnsi="Helvetica" w:cs="Times New Roman"/>
        <w:sz w:val="20"/>
        <w:szCs w:val="18"/>
        <w:lang w:eastAsia="pl-PL"/>
      </w:rPr>
      <w:br/>
    </w:r>
    <w:r w:rsidRPr="004F1B21">
      <w:rPr>
        <w:rFonts w:ascii="Calibri" w:hAnsi="Calibri" w:cs="Times New Roman"/>
        <w:color w:val="000000" w:themeColor="text1"/>
        <w:sz w:val="20"/>
        <w:szCs w:val="18"/>
        <w:lang w:eastAsia="pl-PL"/>
      </w:rPr>
      <w:t xml:space="preserve">Email: </w:t>
    </w:r>
    <w:hyperlink r:id="rId1" w:history="1">
      <w:r w:rsidRPr="004F1B21">
        <w:rPr>
          <w:rFonts w:ascii="Calibri" w:hAnsi="Calibri" w:cs="Times New Roman"/>
          <w:color w:val="000000" w:themeColor="text1"/>
          <w:sz w:val="20"/>
          <w:szCs w:val="18"/>
          <w:u w:val="single"/>
          <w:lang w:eastAsia="pl-PL"/>
        </w:rPr>
        <w:t>marek.wolos@idm.com.pl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E2816" w14:textId="77777777" w:rsidR="00AB78E6" w:rsidRDefault="00AB78E6" w:rsidP="000C5549">
      <w:r>
        <w:separator/>
      </w:r>
    </w:p>
  </w:footnote>
  <w:footnote w:type="continuationSeparator" w:id="0">
    <w:p w14:paraId="73535A0A" w14:textId="77777777" w:rsidR="00AB78E6" w:rsidRDefault="00AB78E6" w:rsidP="000C55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E59A2" w14:textId="77777777" w:rsidR="000C5549" w:rsidRDefault="000C5549">
    <w:pPr>
      <w:pStyle w:val="Nagwek"/>
    </w:pPr>
    <w:r>
      <w:rPr>
        <w:noProof/>
        <w:lang w:eastAsia="pl-PL"/>
      </w:rPr>
      <w:drawing>
        <wp:inline distT="0" distB="0" distL="0" distR="0" wp14:anchorId="7A022F5F" wp14:editId="40E059D4">
          <wp:extent cx="3727508" cy="885602"/>
          <wp:effectExtent l="0" t="0" r="6350" b="3810"/>
          <wp:docPr id="1" name="Obraz 1" descr="/Users/donatapoplawska/Desktop/Logo ID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onatapoplawska/Desktop/Logo ID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4598" cy="894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616DE5" w14:textId="77777777" w:rsidR="000C5549" w:rsidRDefault="000C5549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63973"/>
    <w:multiLevelType w:val="hybridMultilevel"/>
    <w:tmpl w:val="53987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B1C5F"/>
    <w:multiLevelType w:val="hybridMultilevel"/>
    <w:tmpl w:val="C6F41B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59"/>
    <w:rsid w:val="00020B61"/>
    <w:rsid w:val="00037FEB"/>
    <w:rsid w:val="00053952"/>
    <w:rsid w:val="000731F1"/>
    <w:rsid w:val="0008629A"/>
    <w:rsid w:val="00087390"/>
    <w:rsid w:val="00090100"/>
    <w:rsid w:val="000B06EF"/>
    <w:rsid w:val="000C5549"/>
    <w:rsid w:val="000D1A72"/>
    <w:rsid w:val="000F16EC"/>
    <w:rsid w:val="000F7274"/>
    <w:rsid w:val="00122A49"/>
    <w:rsid w:val="001830A2"/>
    <w:rsid w:val="0018517F"/>
    <w:rsid w:val="001C4719"/>
    <w:rsid w:val="001C56B1"/>
    <w:rsid w:val="001F462D"/>
    <w:rsid w:val="00212C32"/>
    <w:rsid w:val="0021518E"/>
    <w:rsid w:val="00223968"/>
    <w:rsid w:val="00237426"/>
    <w:rsid w:val="0026580A"/>
    <w:rsid w:val="00270BBE"/>
    <w:rsid w:val="00286885"/>
    <w:rsid w:val="002875D7"/>
    <w:rsid w:val="00294673"/>
    <w:rsid w:val="002F25D8"/>
    <w:rsid w:val="00320607"/>
    <w:rsid w:val="00333930"/>
    <w:rsid w:val="00363138"/>
    <w:rsid w:val="003764E6"/>
    <w:rsid w:val="00382347"/>
    <w:rsid w:val="00382832"/>
    <w:rsid w:val="003847C6"/>
    <w:rsid w:val="003915E0"/>
    <w:rsid w:val="00395986"/>
    <w:rsid w:val="003A5210"/>
    <w:rsid w:val="003B388C"/>
    <w:rsid w:val="003C3DF3"/>
    <w:rsid w:val="003F3CB0"/>
    <w:rsid w:val="003F44C7"/>
    <w:rsid w:val="003F44D6"/>
    <w:rsid w:val="004534B1"/>
    <w:rsid w:val="00481BD3"/>
    <w:rsid w:val="00486AEC"/>
    <w:rsid w:val="004F1B21"/>
    <w:rsid w:val="005930EC"/>
    <w:rsid w:val="00597B17"/>
    <w:rsid w:val="005B604A"/>
    <w:rsid w:val="005C1D59"/>
    <w:rsid w:val="005D0E85"/>
    <w:rsid w:val="005E79C9"/>
    <w:rsid w:val="00614EBE"/>
    <w:rsid w:val="00635373"/>
    <w:rsid w:val="00640A66"/>
    <w:rsid w:val="006412AE"/>
    <w:rsid w:val="00687E0C"/>
    <w:rsid w:val="00696059"/>
    <w:rsid w:val="006A2A96"/>
    <w:rsid w:val="006A3714"/>
    <w:rsid w:val="006C58BD"/>
    <w:rsid w:val="006D0968"/>
    <w:rsid w:val="006D31F3"/>
    <w:rsid w:val="006D456E"/>
    <w:rsid w:val="006F03AF"/>
    <w:rsid w:val="00710EF3"/>
    <w:rsid w:val="007141AA"/>
    <w:rsid w:val="007337C7"/>
    <w:rsid w:val="0073521B"/>
    <w:rsid w:val="00761BD3"/>
    <w:rsid w:val="00770F35"/>
    <w:rsid w:val="007809D0"/>
    <w:rsid w:val="007A4574"/>
    <w:rsid w:val="007B09C3"/>
    <w:rsid w:val="007C3DD7"/>
    <w:rsid w:val="007D149F"/>
    <w:rsid w:val="007D4152"/>
    <w:rsid w:val="00826789"/>
    <w:rsid w:val="00853528"/>
    <w:rsid w:val="00853EDD"/>
    <w:rsid w:val="00882477"/>
    <w:rsid w:val="008E235F"/>
    <w:rsid w:val="008F1C81"/>
    <w:rsid w:val="008F2FB2"/>
    <w:rsid w:val="00905CC5"/>
    <w:rsid w:val="009439DC"/>
    <w:rsid w:val="00951CB2"/>
    <w:rsid w:val="00973FD4"/>
    <w:rsid w:val="00974AAB"/>
    <w:rsid w:val="0099203E"/>
    <w:rsid w:val="00994B87"/>
    <w:rsid w:val="009A304D"/>
    <w:rsid w:val="009C23FD"/>
    <w:rsid w:val="009C4190"/>
    <w:rsid w:val="009D2B5D"/>
    <w:rsid w:val="009E569C"/>
    <w:rsid w:val="009F3345"/>
    <w:rsid w:val="009F792C"/>
    <w:rsid w:val="00A15760"/>
    <w:rsid w:val="00A20E9B"/>
    <w:rsid w:val="00A2794A"/>
    <w:rsid w:val="00A31DC1"/>
    <w:rsid w:val="00A63B8A"/>
    <w:rsid w:val="00A85159"/>
    <w:rsid w:val="00AA08E1"/>
    <w:rsid w:val="00AB0635"/>
    <w:rsid w:val="00AB78E6"/>
    <w:rsid w:val="00AC544E"/>
    <w:rsid w:val="00AF2979"/>
    <w:rsid w:val="00B07FCB"/>
    <w:rsid w:val="00B41F50"/>
    <w:rsid w:val="00B46C91"/>
    <w:rsid w:val="00B514D8"/>
    <w:rsid w:val="00BB72D8"/>
    <w:rsid w:val="00BF3AC5"/>
    <w:rsid w:val="00C16578"/>
    <w:rsid w:val="00C25944"/>
    <w:rsid w:val="00C97171"/>
    <w:rsid w:val="00CC2160"/>
    <w:rsid w:val="00D003D2"/>
    <w:rsid w:val="00D14FC6"/>
    <w:rsid w:val="00D27FD1"/>
    <w:rsid w:val="00DC4632"/>
    <w:rsid w:val="00DE7ADE"/>
    <w:rsid w:val="00E12C13"/>
    <w:rsid w:val="00E15675"/>
    <w:rsid w:val="00E44BE2"/>
    <w:rsid w:val="00E85D7F"/>
    <w:rsid w:val="00E942A0"/>
    <w:rsid w:val="00E9753E"/>
    <w:rsid w:val="00EC3BB7"/>
    <w:rsid w:val="00EE244F"/>
    <w:rsid w:val="00F61210"/>
    <w:rsid w:val="00F66461"/>
    <w:rsid w:val="00FA02CD"/>
    <w:rsid w:val="00FC1E05"/>
    <w:rsid w:val="00FE15E4"/>
    <w:rsid w:val="00FE2EB1"/>
    <w:rsid w:val="00FF1F1E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F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87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5549"/>
  </w:style>
  <w:style w:type="paragraph" w:styleId="Stopka">
    <w:name w:val="footer"/>
    <w:basedOn w:val="Normalny"/>
    <w:link w:val="StopkaZnak"/>
    <w:uiPriority w:val="99"/>
    <w:unhideWhenUsed/>
    <w:rsid w:val="000C55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5549"/>
  </w:style>
  <w:style w:type="paragraph" w:customStyle="1" w:styleId="p1">
    <w:name w:val="p1"/>
    <w:basedOn w:val="Normalny"/>
    <w:rsid w:val="00696059"/>
    <w:rPr>
      <w:rFonts w:ascii="Helvetica" w:hAnsi="Helvetica" w:cs="Times New Roman"/>
      <w:color w:val="454545"/>
      <w:sz w:val="18"/>
      <w:szCs w:val="18"/>
      <w:lang w:eastAsia="pl-PL"/>
    </w:rPr>
  </w:style>
  <w:style w:type="paragraph" w:customStyle="1" w:styleId="p2">
    <w:name w:val="p2"/>
    <w:basedOn w:val="Normalny"/>
    <w:rsid w:val="00696059"/>
    <w:rPr>
      <w:rFonts w:ascii="Helvetica" w:hAnsi="Helvetica" w:cs="Times New Roman"/>
      <w:color w:val="454545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696059"/>
  </w:style>
  <w:style w:type="character" w:customStyle="1" w:styleId="s1">
    <w:name w:val="s1"/>
    <w:basedOn w:val="Domylnaczcionkaakapitu"/>
    <w:rsid w:val="00B41F50"/>
  </w:style>
  <w:style w:type="paragraph" w:styleId="Tekstdymka">
    <w:name w:val="Balloon Text"/>
    <w:basedOn w:val="Normalny"/>
    <w:link w:val="TekstdymkaZnak"/>
    <w:uiPriority w:val="99"/>
    <w:semiHidden/>
    <w:unhideWhenUsed/>
    <w:rsid w:val="00E44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BE2"/>
    <w:rPr>
      <w:rFonts w:ascii="Tahoma" w:hAnsi="Tahoma" w:cs="Tahoma"/>
      <w:sz w:val="16"/>
      <w:szCs w:val="16"/>
    </w:rPr>
  </w:style>
  <w:style w:type="character" w:customStyle="1" w:styleId="s3">
    <w:name w:val="s3"/>
    <w:basedOn w:val="Domylnaczcionkaakapitu"/>
    <w:rsid w:val="00C97171"/>
    <w:rPr>
      <w:color w:val="4787FF"/>
      <w:u w:val="single"/>
    </w:rPr>
  </w:style>
  <w:style w:type="paragraph" w:styleId="Akapitzlist">
    <w:name w:val="List Paragraph"/>
    <w:basedOn w:val="Normalny"/>
    <w:uiPriority w:val="34"/>
    <w:qFormat/>
    <w:rsid w:val="006D3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ek.wolos@idm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498</Words>
  <Characters>3361</Characters>
  <Application>Microsoft Macintosh Word</Application>
  <DocSecurity>0</DocSecurity>
  <Lines>50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Izba Domów Maklerskich</dc:creator>
  <cp:keywords/>
  <dc:description/>
  <cp:lastModifiedBy>NOBILI PARTNERS Sp. z o.o.</cp:lastModifiedBy>
  <cp:revision>6</cp:revision>
  <cp:lastPrinted>2017-02-15T15:35:00Z</cp:lastPrinted>
  <dcterms:created xsi:type="dcterms:W3CDTF">2017-02-16T08:27:00Z</dcterms:created>
  <dcterms:modified xsi:type="dcterms:W3CDTF">2017-02-16T08:37:00Z</dcterms:modified>
  <cp:category/>
</cp:coreProperties>
</file>