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10" w:rsidRDefault="00F17E10" w:rsidP="00F17E10">
      <w:pPr>
        <w:spacing w:after="177" w:line="259" w:lineRule="auto"/>
        <w:ind w:left="0" w:right="6" w:firstLine="0"/>
        <w:jc w:val="right"/>
      </w:pPr>
      <w:bookmarkStart w:id="0" w:name="_GoBack"/>
      <w:bookmarkEnd w:id="0"/>
      <w:r>
        <w:rPr>
          <w:i/>
          <w:sz w:val="18"/>
        </w:rPr>
        <w:t xml:space="preserve">Załącznik nr […] do umowy o wykonywanie funkcji agenta emisji </w:t>
      </w:r>
    </w:p>
    <w:p w:rsidR="00F17E10" w:rsidRDefault="00F17E10" w:rsidP="00F17E10">
      <w:pPr>
        <w:spacing w:after="14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17E10" w:rsidRDefault="00F17E10" w:rsidP="00F17E10">
      <w:pPr>
        <w:numPr>
          <w:ilvl w:val="0"/>
          <w:numId w:val="1"/>
        </w:numPr>
        <w:spacing w:after="146" w:line="268" w:lineRule="auto"/>
        <w:ind w:right="0" w:hanging="566"/>
        <w:jc w:val="left"/>
      </w:pPr>
      <w:r>
        <w:rPr>
          <w:b/>
        </w:rPr>
        <w:t xml:space="preserve">Lista dokumentów / informacji, które Emitent zobowiązany będzie dostarczyć Domowi Maklerskiemu w związku z zawarciem umowy o wykonywanie funkcji agenta emisji: </w:t>
      </w:r>
    </w:p>
    <w:p w:rsidR="00F17E10" w:rsidRDefault="00F17E10" w:rsidP="00F17E10">
      <w:pPr>
        <w:numPr>
          <w:ilvl w:val="1"/>
          <w:numId w:val="1"/>
        </w:numPr>
        <w:ind w:left="1117" w:right="0" w:hanging="566"/>
      </w:pPr>
      <w:r>
        <w:t xml:space="preserve">informacje i/lub dokumenty umożliwiające Domowi Maklerskiemu sklasyfikowanie Emitenta, jako klienta detalicznego / profesjonalnego, </w:t>
      </w:r>
    </w:p>
    <w:p w:rsidR="00F17E10" w:rsidRDefault="00F17E10" w:rsidP="00F17E10">
      <w:pPr>
        <w:numPr>
          <w:ilvl w:val="1"/>
          <w:numId w:val="1"/>
        </w:numPr>
        <w:ind w:left="1117" w:right="0" w:hanging="566"/>
      </w:pPr>
      <w:r>
        <w:t xml:space="preserve">informacje i/lub dokumenty umożliwiające wypełnienie Domowi Maklerskiemu obowiązków w zakresie AML, a w przypadku gdy Dom Maklerski świadczy na rzecz Emitenta usługę agenta płatniczego również formularz FATCA oraz CRS, </w:t>
      </w:r>
    </w:p>
    <w:p w:rsidR="00F17E10" w:rsidRDefault="00F17E10" w:rsidP="00F17E10">
      <w:pPr>
        <w:numPr>
          <w:ilvl w:val="1"/>
          <w:numId w:val="1"/>
        </w:numPr>
        <w:spacing w:after="123" w:line="305" w:lineRule="auto"/>
        <w:ind w:left="1117" w:right="0" w:hanging="566"/>
      </w:pPr>
      <w:r>
        <w:t>kody LEI dla Emitenta [</w:t>
      </w:r>
      <w:r>
        <w:rPr>
          <w:i/>
        </w:rPr>
        <w:t>chyba że Dom Maklerski będzie upoważniony do wystąpienia w imieniu Emitenta o nadanie kodu LEI</w:t>
      </w:r>
      <w:r>
        <w:t xml:space="preserve">], </w:t>
      </w:r>
    </w:p>
    <w:p w:rsidR="00F17E10" w:rsidRDefault="00F17E10" w:rsidP="00F17E10">
      <w:pPr>
        <w:numPr>
          <w:ilvl w:val="1"/>
          <w:numId w:val="1"/>
        </w:numPr>
        <w:spacing w:after="123" w:line="305" w:lineRule="auto"/>
        <w:ind w:left="1117" w:right="0" w:hanging="566"/>
      </w:pPr>
      <w:r>
        <w:t>aktualny na dzień podpisania odpis lub wyciąg z właściwego rejestru dotyczący Emitenta [</w:t>
      </w:r>
      <w:r>
        <w:rPr>
          <w:i/>
        </w:rPr>
        <w:t>w przypadku spółek prawa handlowego będzie to informacja odpowiadająca odpisowi aktualnemu z rejestru przedsiębiorców (KRS), a w przypadku gdy Emitentem jest fundusz inwestycyjny zamknięty będzie to aktualny odpis z Rejestru Funduszy Inwestycyjnych dotyczący Emitenta, a także aktualny odpis z Krajowego Rejestru Sądowego towarzystwa reprezentującego Emitenta</w:t>
      </w:r>
      <w:r>
        <w:t xml:space="preserve">], </w:t>
      </w:r>
    </w:p>
    <w:p w:rsidR="00F17E10" w:rsidRDefault="00F17E10" w:rsidP="00F17E10">
      <w:pPr>
        <w:numPr>
          <w:ilvl w:val="1"/>
          <w:numId w:val="1"/>
        </w:numPr>
        <w:spacing w:after="127"/>
        <w:ind w:left="1117" w:right="0" w:hanging="566"/>
      </w:pPr>
      <w:r>
        <w:t xml:space="preserve">inne dokumenty, których żądanie przez Dom Maklerski będzie uzasadnione. </w:t>
      </w:r>
    </w:p>
    <w:p w:rsidR="00F17E10" w:rsidRDefault="00F17E10" w:rsidP="00F17E10">
      <w:pPr>
        <w:spacing w:after="160" w:line="259" w:lineRule="auto"/>
        <w:ind w:right="0"/>
        <w:jc w:val="left"/>
      </w:pPr>
    </w:p>
    <w:p w:rsidR="00F17E10" w:rsidRDefault="00F17E10" w:rsidP="00F17E10">
      <w:pPr>
        <w:numPr>
          <w:ilvl w:val="0"/>
          <w:numId w:val="1"/>
        </w:numPr>
        <w:spacing w:after="146" w:line="268" w:lineRule="auto"/>
        <w:ind w:right="0" w:hanging="566"/>
        <w:jc w:val="left"/>
      </w:pPr>
      <w:r>
        <w:rPr>
          <w:b/>
        </w:rPr>
        <w:t xml:space="preserve">W przypadku emisji listów zastawnych Emitent zobowiązany będzie przedstawić Domowi Maklerskiemu następujące dokumenty / informacje: </w:t>
      </w:r>
    </w:p>
    <w:p w:rsidR="00F17E10" w:rsidRDefault="00F17E10" w:rsidP="00F17E10">
      <w:pPr>
        <w:numPr>
          <w:ilvl w:val="1"/>
          <w:numId w:val="1"/>
        </w:numPr>
        <w:ind w:left="1117" w:right="0" w:hanging="566"/>
      </w:pPr>
      <w:r>
        <w:t xml:space="preserve">kopię tekstu jednolitego aktualnego statutu Emitenta, </w:t>
      </w:r>
    </w:p>
    <w:p w:rsidR="00F17E10" w:rsidRDefault="00F17E10" w:rsidP="00F17E10">
      <w:pPr>
        <w:numPr>
          <w:ilvl w:val="1"/>
          <w:numId w:val="1"/>
        </w:numPr>
        <w:ind w:left="1117" w:right="0" w:hanging="566"/>
      </w:pPr>
      <w:r>
        <w:t xml:space="preserve">kopie uchwał właściwych organów Emitenta w przedmiocie emisji listów zastawnych, </w:t>
      </w:r>
    </w:p>
    <w:p w:rsidR="00F17E10" w:rsidRDefault="00F17E10" w:rsidP="00F17E10">
      <w:pPr>
        <w:numPr>
          <w:ilvl w:val="1"/>
          <w:numId w:val="1"/>
        </w:numPr>
        <w:ind w:left="1117" w:right="0" w:hanging="566"/>
      </w:pPr>
      <w:r>
        <w:t xml:space="preserve">kopię warunków emisji listów zastawnych, </w:t>
      </w:r>
    </w:p>
    <w:p w:rsidR="00F17E10" w:rsidRDefault="00F17E10" w:rsidP="00F17E10">
      <w:pPr>
        <w:numPr>
          <w:ilvl w:val="1"/>
          <w:numId w:val="1"/>
        </w:numPr>
        <w:spacing w:after="133"/>
        <w:ind w:left="1117" w:right="0" w:hanging="566"/>
      </w:pPr>
      <w:r>
        <w:t xml:space="preserve">kopię propozycji nabycia listów zastawnych, </w:t>
      </w:r>
    </w:p>
    <w:p w:rsidR="00F17E10" w:rsidRDefault="00F17E10" w:rsidP="00F17E10">
      <w:pPr>
        <w:numPr>
          <w:ilvl w:val="1"/>
          <w:numId w:val="1"/>
        </w:numPr>
        <w:ind w:left="1117" w:right="0" w:hanging="566"/>
      </w:pPr>
      <w:r>
        <w:t xml:space="preserve">kopie formularzy zapisu, </w:t>
      </w:r>
    </w:p>
    <w:p w:rsidR="00F17E10" w:rsidRDefault="00F17E10" w:rsidP="00F17E10">
      <w:pPr>
        <w:numPr>
          <w:ilvl w:val="1"/>
          <w:numId w:val="1"/>
        </w:numPr>
        <w:ind w:left="1117" w:right="0" w:hanging="566"/>
      </w:pPr>
      <w:r>
        <w:t xml:space="preserve">kopię uchwały właściwych organów Emitenta o przydziale listów zastawnych, o ile taka uchwała została podjęta, lub pisemne oświadczenie Emitenta o dokonaniu przydziału listów zastawnych wraz z datą przydziału, </w:t>
      </w:r>
    </w:p>
    <w:p w:rsidR="00F17E10" w:rsidRDefault="00F17E10" w:rsidP="00F17E10">
      <w:pPr>
        <w:numPr>
          <w:ilvl w:val="1"/>
          <w:numId w:val="1"/>
        </w:numPr>
        <w:ind w:left="1117" w:right="0" w:hanging="566"/>
      </w:pPr>
      <w:r>
        <w:t xml:space="preserve">listę osób, które złożyły zapisy na listy zastawne lub przyjęły propozycję nabycia listów zastawnych, </w:t>
      </w:r>
    </w:p>
    <w:p w:rsidR="00F17E10" w:rsidRDefault="00F17E10" w:rsidP="00F17E10">
      <w:pPr>
        <w:numPr>
          <w:ilvl w:val="1"/>
          <w:numId w:val="1"/>
        </w:numPr>
        <w:spacing w:after="13"/>
        <w:ind w:left="1117" w:right="0" w:hanging="566"/>
      </w:pPr>
      <w:r>
        <w:t xml:space="preserve">wszelkie dokumenty ofertowe oraz marketingowe dotyczące listów zastawnych (np. </w:t>
      </w:r>
    </w:p>
    <w:p w:rsidR="00F17E10" w:rsidRDefault="00F17E10" w:rsidP="00F17E10">
      <w:pPr>
        <w:ind w:left="1133" w:right="0" w:firstLine="0"/>
      </w:pPr>
      <w:r>
        <w:t xml:space="preserve">memoranda, prospekty, dokumenty informacyjne etc.), </w:t>
      </w:r>
    </w:p>
    <w:p w:rsidR="00F17E10" w:rsidRDefault="00F17E10" w:rsidP="00F17E10">
      <w:pPr>
        <w:numPr>
          <w:ilvl w:val="1"/>
          <w:numId w:val="1"/>
        </w:numPr>
        <w:ind w:left="1117" w:right="0" w:hanging="566"/>
      </w:pPr>
      <w:r>
        <w:t xml:space="preserve">dyspozycję deponowania listów zastawnych, o ile taka została złożona, </w:t>
      </w:r>
    </w:p>
    <w:p w:rsidR="00F17E10" w:rsidRDefault="00F17E10" w:rsidP="00F17E10">
      <w:pPr>
        <w:numPr>
          <w:ilvl w:val="1"/>
          <w:numId w:val="1"/>
        </w:numPr>
        <w:ind w:left="1117" w:right="0" w:hanging="566"/>
      </w:pPr>
      <w:r>
        <w:t xml:space="preserve">opis procesu oferowania listów zastawnych przez Emitenta albo inny podmiot oferujący, chyba że Emitent nie oferował listów zastawnych, </w:t>
      </w:r>
    </w:p>
    <w:p w:rsidR="00F17E10" w:rsidRDefault="00F17E10" w:rsidP="00F17E10">
      <w:pPr>
        <w:numPr>
          <w:ilvl w:val="1"/>
          <w:numId w:val="1"/>
        </w:numPr>
        <w:spacing w:after="133"/>
        <w:ind w:left="1117" w:right="0" w:hanging="566"/>
      </w:pPr>
      <w:r>
        <w:t xml:space="preserve">parametry emisji listów zastawnych zgodnie ze schematem wskazanym poniżej. </w:t>
      </w:r>
    </w:p>
    <w:p w:rsidR="00F17E10" w:rsidRDefault="00F17E10" w:rsidP="00F17E10">
      <w:pPr>
        <w:spacing w:after="171" w:line="259" w:lineRule="auto"/>
        <w:ind w:left="0" w:right="0" w:firstLine="0"/>
        <w:jc w:val="left"/>
      </w:pPr>
      <w:r>
        <w:t xml:space="preserve"> </w:t>
      </w:r>
    </w:p>
    <w:p w:rsidR="00F17E10" w:rsidRDefault="00F17E10" w:rsidP="00F17E10">
      <w:pPr>
        <w:spacing w:after="171" w:line="259" w:lineRule="auto"/>
        <w:ind w:left="0" w:right="0" w:firstLine="0"/>
        <w:jc w:val="left"/>
      </w:pPr>
    </w:p>
    <w:p w:rsidR="00F17E10" w:rsidRDefault="00F17E10" w:rsidP="00F17E10">
      <w:pPr>
        <w:spacing w:after="171" w:line="259" w:lineRule="auto"/>
        <w:ind w:left="0" w:right="0" w:firstLine="0"/>
        <w:jc w:val="left"/>
      </w:pPr>
    </w:p>
    <w:p w:rsidR="00F17E10" w:rsidRDefault="00F17E10" w:rsidP="00F17E10">
      <w:pPr>
        <w:spacing w:after="171" w:line="259" w:lineRule="auto"/>
        <w:ind w:left="0" w:right="0" w:firstLine="0"/>
        <w:jc w:val="left"/>
      </w:pPr>
    </w:p>
    <w:p w:rsidR="00F17E10" w:rsidRDefault="00F17E10" w:rsidP="00F17E10">
      <w:pPr>
        <w:spacing w:after="170" w:line="259" w:lineRule="auto"/>
        <w:ind w:left="561" w:right="0" w:hanging="10"/>
        <w:jc w:val="left"/>
      </w:pPr>
      <w:r>
        <w:rPr>
          <w:u w:val="single" w:color="000000"/>
        </w:rPr>
        <w:lastRenderedPageBreak/>
        <w:t>Parametry emisji listów zastawnych:</w:t>
      </w:r>
      <w:r>
        <w:t xml:space="preserve"> </w:t>
      </w:r>
    </w:p>
    <w:p w:rsidR="00F17E10" w:rsidRDefault="00F17E10" w:rsidP="00F17E10">
      <w:pPr>
        <w:tabs>
          <w:tab w:val="center" w:pos="655"/>
          <w:tab w:val="center" w:pos="3659"/>
        </w:tabs>
        <w:spacing w:after="178" w:line="26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</w:t>
      </w:r>
      <w:r>
        <w:tab/>
      </w:r>
      <w:r>
        <w:rPr>
          <w:b/>
        </w:rPr>
        <w:t xml:space="preserve">specyfikacja emitowanych listów zastawnych, w tym: </w:t>
      </w:r>
    </w:p>
    <w:p w:rsidR="00F17E10" w:rsidRDefault="00F17E10" w:rsidP="00F17E10">
      <w:pPr>
        <w:pStyle w:val="Akapitzlist"/>
        <w:numPr>
          <w:ilvl w:val="0"/>
          <w:numId w:val="8"/>
        </w:numPr>
        <w:tabs>
          <w:tab w:val="center" w:pos="1701"/>
          <w:tab w:val="center" w:pos="3735"/>
        </w:tabs>
        <w:ind w:left="1701" w:right="0" w:hanging="425"/>
        <w:jc w:val="left"/>
      </w:pPr>
      <w:r>
        <w:t>rodzaj emitowanych listów zastawnych: [</w:t>
      </w:r>
      <w:r w:rsidRPr="00F17E10">
        <w:rPr>
          <w:i/>
        </w:rPr>
        <w:t>opis</w:t>
      </w:r>
      <w:r>
        <w:t>],</w:t>
      </w:r>
    </w:p>
    <w:p w:rsidR="00F17E10" w:rsidRDefault="00F17E10" w:rsidP="00F17E10">
      <w:pPr>
        <w:pStyle w:val="Akapitzlist"/>
        <w:numPr>
          <w:ilvl w:val="0"/>
          <w:numId w:val="8"/>
        </w:numPr>
        <w:tabs>
          <w:tab w:val="center" w:pos="1701"/>
          <w:tab w:val="center" w:pos="3735"/>
        </w:tabs>
        <w:ind w:left="1701" w:right="0" w:hanging="425"/>
        <w:jc w:val="left"/>
      </w:pPr>
      <w:r>
        <w:t>seria i numery emitowanych listów zastawnych: [</w:t>
      </w:r>
      <w:r w:rsidRPr="00F17E10">
        <w:rPr>
          <w:i/>
        </w:rPr>
        <w:t>opis</w:t>
      </w:r>
      <w:r>
        <w:t>],</w:t>
      </w:r>
    </w:p>
    <w:p w:rsidR="00F17E10" w:rsidRDefault="00F17E10" w:rsidP="00F17E10">
      <w:pPr>
        <w:pStyle w:val="Akapitzlist"/>
        <w:numPr>
          <w:ilvl w:val="0"/>
          <w:numId w:val="8"/>
        </w:numPr>
        <w:tabs>
          <w:tab w:val="center" w:pos="1701"/>
          <w:tab w:val="center" w:pos="3735"/>
        </w:tabs>
        <w:ind w:left="1701" w:right="0" w:hanging="425"/>
        <w:jc w:val="left"/>
      </w:pPr>
      <w:r>
        <w:t>wartość nominalna emitowanego listu zastawnego: [</w:t>
      </w:r>
      <w:r w:rsidRPr="00F17E10">
        <w:rPr>
          <w:i/>
        </w:rPr>
        <w:t>opis</w:t>
      </w:r>
      <w:r>
        <w:t>],</w:t>
      </w:r>
    </w:p>
    <w:p w:rsidR="00F17E10" w:rsidRPr="00F17E10" w:rsidRDefault="00F17E10" w:rsidP="00F17E10">
      <w:pPr>
        <w:pStyle w:val="Akapitzlist"/>
        <w:numPr>
          <w:ilvl w:val="0"/>
          <w:numId w:val="8"/>
        </w:numPr>
        <w:tabs>
          <w:tab w:val="center" w:pos="1701"/>
          <w:tab w:val="center" w:pos="3735"/>
        </w:tabs>
        <w:ind w:left="1701" w:right="0" w:hanging="425"/>
        <w:jc w:val="left"/>
      </w:pPr>
      <w:r>
        <w:t>łączna wartość nominalna emitowanych listów zastawnych: [</w:t>
      </w:r>
      <w:r w:rsidRPr="00F17E10">
        <w:rPr>
          <w:i/>
        </w:rPr>
        <w:t>opis</w:t>
      </w:r>
      <w:r>
        <w:t>],</w:t>
      </w:r>
    </w:p>
    <w:p w:rsidR="00F17E10" w:rsidRDefault="00F17E10" w:rsidP="00F17E10">
      <w:pPr>
        <w:spacing w:after="23" w:line="427" w:lineRule="auto"/>
        <w:ind w:left="1134" w:right="1550" w:hanging="567"/>
        <w:jc w:val="left"/>
      </w:pPr>
      <w:r>
        <w:t xml:space="preserve">2) </w:t>
      </w:r>
      <w:r>
        <w:tab/>
      </w:r>
      <w:r>
        <w:rPr>
          <w:b/>
        </w:rPr>
        <w:t>wzmianka o zbywalności listów zastawnych</w:t>
      </w:r>
      <w:r>
        <w:t>: [</w:t>
      </w:r>
      <w:r>
        <w:rPr>
          <w:i/>
        </w:rPr>
        <w:t>opis</w:t>
      </w:r>
      <w:r>
        <w:t>],</w:t>
      </w:r>
    </w:p>
    <w:p w:rsidR="00F17E10" w:rsidRDefault="00F17E10" w:rsidP="00F17E10">
      <w:pPr>
        <w:spacing w:after="23" w:line="427" w:lineRule="auto"/>
        <w:ind w:left="1134" w:right="1550" w:hanging="567"/>
        <w:jc w:val="left"/>
      </w:pPr>
      <w:r>
        <w:t xml:space="preserve">3) </w:t>
      </w:r>
      <w:r>
        <w:tab/>
      </w:r>
      <w:r>
        <w:rPr>
          <w:b/>
        </w:rPr>
        <w:t>oprocentowanie listów zastawnych, w tym</w:t>
      </w:r>
      <w:r>
        <w:t xml:space="preserve">: </w:t>
      </w:r>
    </w:p>
    <w:p w:rsidR="00F17E10" w:rsidRDefault="00F17E10" w:rsidP="00F17E10">
      <w:pPr>
        <w:pStyle w:val="Akapitzlist"/>
        <w:numPr>
          <w:ilvl w:val="0"/>
          <w:numId w:val="13"/>
        </w:numPr>
        <w:ind w:left="1701" w:right="6" w:hanging="425"/>
      </w:pPr>
      <w:r>
        <w:t>wysokość oprocentowania: [</w:t>
      </w:r>
      <w:r w:rsidRPr="00F17E10">
        <w:rPr>
          <w:i/>
        </w:rPr>
        <w:t>opis</w:t>
      </w:r>
      <w:r>
        <w:t>],</w:t>
      </w:r>
    </w:p>
    <w:p w:rsidR="00F17E10" w:rsidRDefault="00F17E10" w:rsidP="00F17E10">
      <w:pPr>
        <w:pStyle w:val="Akapitzlist"/>
        <w:numPr>
          <w:ilvl w:val="0"/>
          <w:numId w:val="13"/>
        </w:numPr>
        <w:ind w:left="1701" w:right="6" w:hanging="425"/>
      </w:pPr>
      <w:r>
        <w:t>dzień, od którego naliczane jest oprocentowanie: [</w:t>
      </w:r>
      <w:r w:rsidRPr="00F17E10">
        <w:rPr>
          <w:i/>
        </w:rPr>
        <w:t>data</w:t>
      </w:r>
      <w:r>
        <w:t>],</w:t>
      </w:r>
    </w:p>
    <w:p w:rsidR="00F17E10" w:rsidRDefault="00F17E10" w:rsidP="00F17E10">
      <w:pPr>
        <w:pStyle w:val="Akapitzlist"/>
        <w:numPr>
          <w:ilvl w:val="0"/>
          <w:numId w:val="13"/>
        </w:numPr>
        <w:ind w:left="1701" w:right="6" w:hanging="425"/>
      </w:pPr>
      <w:r>
        <w:t>termin ustalenia praw do otrzymania odsetek z listów zastawnych: [</w:t>
      </w:r>
      <w:r w:rsidRPr="00F17E10">
        <w:rPr>
          <w:i/>
        </w:rPr>
        <w:t>data</w:t>
      </w:r>
      <w:r>
        <w:t>],</w:t>
      </w:r>
    </w:p>
    <w:p w:rsidR="00F17E10" w:rsidRDefault="00F17E10" w:rsidP="00F17E10">
      <w:pPr>
        <w:pStyle w:val="Akapitzlist"/>
        <w:numPr>
          <w:ilvl w:val="0"/>
          <w:numId w:val="13"/>
        </w:numPr>
        <w:ind w:left="1701" w:right="6" w:hanging="425"/>
      </w:pPr>
      <w:r>
        <w:t>terminy płatności odsetek: [</w:t>
      </w:r>
      <w:r w:rsidRPr="00F17E10">
        <w:rPr>
          <w:i/>
        </w:rPr>
        <w:t>data lub daty</w:t>
      </w:r>
      <w:r>
        <w:t>],</w:t>
      </w:r>
    </w:p>
    <w:p w:rsidR="00F17E10" w:rsidRDefault="00F17E10" w:rsidP="00F17E10">
      <w:pPr>
        <w:pStyle w:val="Akapitzlist"/>
        <w:numPr>
          <w:ilvl w:val="0"/>
          <w:numId w:val="13"/>
        </w:numPr>
        <w:ind w:left="1701" w:right="6" w:hanging="425"/>
      </w:pPr>
      <w:r>
        <w:t>sposób płatności odsetek: [</w:t>
      </w:r>
      <w:r w:rsidRPr="00F17E10">
        <w:rPr>
          <w:i/>
        </w:rPr>
        <w:t>opis</w:t>
      </w:r>
      <w:r>
        <w:t xml:space="preserve">], </w:t>
      </w:r>
    </w:p>
    <w:p w:rsidR="00F17E10" w:rsidRDefault="00F17E10" w:rsidP="00F17E10">
      <w:pPr>
        <w:numPr>
          <w:ilvl w:val="0"/>
          <w:numId w:val="2"/>
        </w:numPr>
        <w:spacing w:after="168" w:line="268" w:lineRule="auto"/>
        <w:ind w:left="1117" w:right="1686" w:hanging="566"/>
        <w:jc w:val="left"/>
      </w:pPr>
      <w:r>
        <w:rPr>
          <w:b/>
        </w:rPr>
        <w:t>zabezpieczenie listów zastawnych</w:t>
      </w:r>
      <w:r>
        <w:t>: [</w:t>
      </w:r>
      <w:r>
        <w:rPr>
          <w:i/>
        </w:rPr>
        <w:t>rodzaj zabezpieczenia</w:t>
      </w:r>
      <w:r>
        <w:t xml:space="preserve">],  </w:t>
      </w:r>
    </w:p>
    <w:p w:rsidR="00F17E10" w:rsidRDefault="00F17E10" w:rsidP="00F17E10">
      <w:pPr>
        <w:numPr>
          <w:ilvl w:val="0"/>
          <w:numId w:val="2"/>
        </w:numPr>
        <w:spacing w:after="0" w:line="443" w:lineRule="auto"/>
        <w:ind w:left="1117" w:right="1686" w:hanging="566"/>
        <w:jc w:val="left"/>
      </w:pPr>
      <w:r>
        <w:rPr>
          <w:b/>
        </w:rPr>
        <w:t>przydział listów zastawnych</w:t>
      </w:r>
      <w:r>
        <w:t>: [</w:t>
      </w:r>
      <w:r>
        <w:rPr>
          <w:i/>
        </w:rPr>
        <w:t>data przydziału</w:t>
      </w:r>
      <w:r>
        <w:t xml:space="preserve">],  6) </w:t>
      </w:r>
      <w:r>
        <w:tab/>
      </w:r>
      <w:r>
        <w:rPr>
          <w:b/>
        </w:rPr>
        <w:t>wykup listów zastawnych, w tym:</w:t>
      </w:r>
      <w:r>
        <w:t xml:space="preserve"> </w:t>
      </w:r>
    </w:p>
    <w:p w:rsidR="00F17E10" w:rsidRDefault="00F17E10" w:rsidP="00F17E10">
      <w:pPr>
        <w:pStyle w:val="Akapitzlist"/>
        <w:numPr>
          <w:ilvl w:val="2"/>
          <w:numId w:val="11"/>
        </w:numPr>
        <w:spacing w:after="0" w:line="240" w:lineRule="auto"/>
        <w:ind w:left="1701" w:right="0" w:hanging="425"/>
      </w:pPr>
      <w:r>
        <w:t>termin wykupu: [</w:t>
      </w:r>
      <w:r w:rsidRPr="00F17E10">
        <w:rPr>
          <w:i/>
        </w:rPr>
        <w:t>data</w:t>
      </w:r>
      <w:r>
        <w:t>],</w:t>
      </w:r>
    </w:p>
    <w:p w:rsidR="00F17E10" w:rsidRDefault="00F17E10" w:rsidP="00F17E10">
      <w:pPr>
        <w:pStyle w:val="Akapitzlist"/>
        <w:numPr>
          <w:ilvl w:val="2"/>
          <w:numId w:val="11"/>
        </w:numPr>
        <w:spacing w:after="0" w:line="240" w:lineRule="auto"/>
        <w:ind w:left="1701" w:right="0" w:hanging="425"/>
      </w:pPr>
      <w:r>
        <w:t>termin ustalenia praw do otrzymania płatności kwoty wykupu listów zastawnych: [</w:t>
      </w:r>
      <w:r w:rsidRPr="00F17E10">
        <w:rPr>
          <w:i/>
        </w:rPr>
        <w:t>data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11"/>
        </w:numPr>
        <w:tabs>
          <w:tab w:val="center" w:pos="1232"/>
          <w:tab w:val="center" w:pos="2735"/>
        </w:tabs>
        <w:spacing w:after="0" w:line="240" w:lineRule="auto"/>
        <w:ind w:left="1701" w:right="0" w:hanging="425"/>
        <w:jc w:val="left"/>
      </w:pPr>
      <w:r>
        <w:t>warunki wykupu: [</w:t>
      </w:r>
      <w:r w:rsidRPr="00F17E10">
        <w:rPr>
          <w:i/>
        </w:rPr>
        <w:t>opis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11"/>
        </w:numPr>
        <w:tabs>
          <w:tab w:val="center" w:pos="1232"/>
          <w:tab w:val="center" w:pos="2729"/>
        </w:tabs>
        <w:spacing w:after="115"/>
        <w:ind w:left="1701" w:right="0" w:hanging="425"/>
        <w:jc w:val="left"/>
      </w:pPr>
      <w:r>
        <w:t>miejsce wykupu: [</w:t>
      </w:r>
      <w:r w:rsidRPr="00F17E10">
        <w:rPr>
          <w:i/>
        </w:rPr>
        <w:t>opis</w:t>
      </w:r>
      <w:r>
        <w:t xml:space="preserve">], </w:t>
      </w:r>
    </w:p>
    <w:p w:rsidR="00F17E10" w:rsidRDefault="00F17E10" w:rsidP="00F17E10">
      <w:pPr>
        <w:spacing w:after="125" w:line="268" w:lineRule="auto"/>
        <w:ind w:left="1117" w:right="0" w:hanging="566"/>
        <w:jc w:val="left"/>
      </w:pPr>
      <w:r>
        <w:t xml:space="preserve">7) </w:t>
      </w:r>
      <w:r>
        <w:rPr>
          <w:b/>
        </w:rPr>
        <w:t xml:space="preserve">informacja, czy uprawnionym z listów zastawnych lub Emitentowi przysługuje prawo wcześniejszego ich przedstawienia do wykupu: </w:t>
      </w:r>
      <w:r>
        <w:t>[</w:t>
      </w:r>
      <w:r>
        <w:rPr>
          <w:i/>
        </w:rPr>
        <w:t>tak / nie</w:t>
      </w:r>
      <w:r>
        <w:t xml:space="preserve">]. </w:t>
      </w:r>
    </w:p>
    <w:p w:rsidR="00F17E10" w:rsidRDefault="00F17E10" w:rsidP="00F17E10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F17E10" w:rsidRDefault="00F17E10" w:rsidP="00F17E10">
      <w:pPr>
        <w:spacing w:after="146" w:line="268" w:lineRule="auto"/>
        <w:ind w:left="566" w:right="0" w:hanging="566"/>
        <w:jc w:val="left"/>
      </w:pPr>
      <w:r>
        <w:rPr>
          <w:b/>
        </w:rPr>
        <w:t xml:space="preserve">3. W przypadku emisji obligacji Emitent zobowiązany będzie przedstawić Domowi Maklerskiemu następujące dokumenty / informacje: </w:t>
      </w:r>
    </w:p>
    <w:p w:rsidR="00F17E10" w:rsidRDefault="00F17E10" w:rsidP="00F17E10">
      <w:pPr>
        <w:numPr>
          <w:ilvl w:val="0"/>
          <w:numId w:val="3"/>
        </w:numPr>
        <w:ind w:left="1117" w:right="0" w:hanging="566"/>
      </w:pPr>
      <w:r>
        <w:t xml:space="preserve">kopię aktualnego tekstu jednolitego statutu albo innego aktu założycielskiego Emitenta, </w:t>
      </w:r>
    </w:p>
    <w:p w:rsidR="00F17E10" w:rsidRDefault="00F17E10" w:rsidP="00F17E10">
      <w:pPr>
        <w:numPr>
          <w:ilvl w:val="0"/>
          <w:numId w:val="3"/>
        </w:numPr>
        <w:spacing w:after="123" w:line="305" w:lineRule="auto"/>
        <w:ind w:left="1117" w:right="0" w:hanging="566"/>
      </w:pPr>
      <w:r>
        <w:t>kopie uchwał właściwych organów Emitenta o emisji obligacji [</w:t>
      </w:r>
      <w:r>
        <w:rPr>
          <w:i/>
        </w:rPr>
        <w:t>w przypadku Emitenta mającego siedzibę poza terytorium Rzeczypospolitej Polskiej dodatkowo oświadczenie organu zarządzającego o posiadaniu uprawnień do emitowania obligacji zgodnie z właściwym dla niego prawem</w:t>
      </w:r>
      <w:r>
        <w:t xml:space="preserve">],  </w:t>
      </w:r>
    </w:p>
    <w:p w:rsidR="00F17E10" w:rsidRDefault="00F17E10" w:rsidP="00F17E10">
      <w:pPr>
        <w:numPr>
          <w:ilvl w:val="0"/>
          <w:numId w:val="3"/>
        </w:numPr>
        <w:spacing w:after="124"/>
        <w:ind w:left="1117" w:right="0" w:hanging="566"/>
      </w:pPr>
      <w:r>
        <w:t xml:space="preserve">kopię warunków emisji obligacji wraz z kopią rocznego sprawozdania finansowego Emitenta dotyczącego ostatniego roku oraz ze sprawozdaniem z badania (lub skonsolidowanego sprawozdania finansowego) lub dokumentu zawierającego zestawienie dochodów i wydatków, o którym mowa w art. 39 Ustawy o obligacjach, </w:t>
      </w:r>
    </w:p>
    <w:p w:rsidR="00F17E10" w:rsidRDefault="00F17E10" w:rsidP="00F17E10">
      <w:pPr>
        <w:numPr>
          <w:ilvl w:val="0"/>
          <w:numId w:val="3"/>
        </w:numPr>
        <w:spacing w:after="133"/>
        <w:ind w:left="1117" w:right="0" w:hanging="566"/>
      </w:pPr>
      <w:r>
        <w:t xml:space="preserve">kopię propozycji nabycia obligacji, </w:t>
      </w:r>
    </w:p>
    <w:p w:rsidR="00F17E10" w:rsidRDefault="00F17E10" w:rsidP="00F17E10">
      <w:pPr>
        <w:numPr>
          <w:ilvl w:val="0"/>
          <w:numId w:val="3"/>
        </w:numPr>
        <w:ind w:left="1117" w:right="0" w:hanging="566"/>
      </w:pPr>
      <w:r>
        <w:t xml:space="preserve">kopie formularzy zapisu,  </w:t>
      </w:r>
    </w:p>
    <w:p w:rsidR="00F17E10" w:rsidRDefault="00F17E10" w:rsidP="00F17E10">
      <w:pPr>
        <w:numPr>
          <w:ilvl w:val="0"/>
          <w:numId w:val="3"/>
        </w:numPr>
        <w:ind w:left="1117" w:right="0" w:hanging="566"/>
      </w:pPr>
      <w:r>
        <w:t xml:space="preserve">kopię uchwały Emitenta o przydziale obligacji, o ile taka została podjęta, lub pisemne oświadczenie Emitenta o dokonaniu przydziału obligacji oraz dacie przydziału, </w:t>
      </w:r>
    </w:p>
    <w:p w:rsidR="00F17E10" w:rsidRDefault="00F17E10" w:rsidP="00F17E10">
      <w:pPr>
        <w:numPr>
          <w:ilvl w:val="0"/>
          <w:numId w:val="3"/>
        </w:numPr>
        <w:ind w:left="1117" w:right="0" w:hanging="566"/>
      </w:pPr>
      <w:r>
        <w:t xml:space="preserve">listę osób, które złożyły zapis na obligacje lub przyjęły propozycję nabycia obligacji, </w:t>
      </w:r>
    </w:p>
    <w:p w:rsidR="00F17E10" w:rsidRDefault="00F17E10" w:rsidP="00F17E10">
      <w:pPr>
        <w:numPr>
          <w:ilvl w:val="0"/>
          <w:numId w:val="3"/>
        </w:numPr>
        <w:ind w:left="1117" w:right="0" w:hanging="566"/>
      </w:pPr>
      <w:r>
        <w:t xml:space="preserve">wszelkie dokumenty ofertowe oraz marketingowe dotyczące obligacji (np. memoranda, prospekty, dokumenty informacyjne etc.), </w:t>
      </w:r>
    </w:p>
    <w:p w:rsidR="00F17E10" w:rsidRDefault="00F17E10" w:rsidP="00F17E10">
      <w:pPr>
        <w:numPr>
          <w:ilvl w:val="0"/>
          <w:numId w:val="3"/>
        </w:numPr>
        <w:ind w:left="1117" w:right="0" w:hanging="566"/>
      </w:pPr>
      <w:r>
        <w:t xml:space="preserve">dyspozycję deponowania obligacji, o ile taka dyspozycja zostanie złożona, </w:t>
      </w:r>
    </w:p>
    <w:p w:rsidR="00F17E10" w:rsidRDefault="00F17E10" w:rsidP="00F17E10">
      <w:pPr>
        <w:numPr>
          <w:ilvl w:val="0"/>
          <w:numId w:val="3"/>
        </w:numPr>
        <w:ind w:left="1117" w:right="0" w:hanging="566"/>
      </w:pPr>
      <w:r>
        <w:lastRenderedPageBreak/>
        <w:t xml:space="preserve">w przypadku emisji obligacji przez jednostkę samorządu terytorialnego lub związek tych jednostek – ostatnie roczne sprawozdanie z wykonania budżetu jednostki samorządu terytorialnego wraz z opinią regionalnej izby obrachunkowej, </w:t>
      </w:r>
    </w:p>
    <w:p w:rsidR="00F17E10" w:rsidRDefault="00F17E10" w:rsidP="00F17E10">
      <w:pPr>
        <w:numPr>
          <w:ilvl w:val="0"/>
          <w:numId w:val="3"/>
        </w:numPr>
        <w:ind w:left="1117" w:right="0" w:hanging="566"/>
      </w:pPr>
      <w:r>
        <w:t xml:space="preserve">w przypadku emisji obligacji przez jednostkę władz regionalnych lub lokalnych innych niż Rzeczpospolita Polska państw członkowskich Unii Europejskiej – sprawozdanie z wykonania budżetu, sporządzone zgodnie z właściwym dla niej prawem, a w przypadku braku takiego sprawozdania - inny dokument zawierający zestawienie dochodów i wydatków wynikających z zamknięć jej rachunków budżetu wraz z opinią państwowego organu nadzoru i kontroli gospodarki finansowej tej jednostki, sporządzoną zgodnie z właściwym dla niej prawem, </w:t>
      </w:r>
    </w:p>
    <w:p w:rsidR="00F17E10" w:rsidRDefault="00F17E10" w:rsidP="00F17E10">
      <w:pPr>
        <w:numPr>
          <w:ilvl w:val="0"/>
          <w:numId w:val="3"/>
        </w:numPr>
        <w:ind w:left="1117" w:right="0" w:hanging="566"/>
      </w:pPr>
      <w:r>
        <w:t xml:space="preserve">opis procesu oferowania obligacji przez Emitenta albo inny podmiot oferujący, chyba że Emitent nie oferował obligacji, </w:t>
      </w:r>
    </w:p>
    <w:p w:rsidR="00F17E10" w:rsidRDefault="00F17E10" w:rsidP="00F17E10">
      <w:pPr>
        <w:numPr>
          <w:ilvl w:val="0"/>
          <w:numId w:val="3"/>
        </w:numPr>
        <w:ind w:left="1117" w:right="0" w:hanging="566"/>
      </w:pPr>
      <w:r>
        <w:t xml:space="preserve">oświadczenie Emitenta, że emisja obligacji danej serii nie wiąże się z obowiązkiem sporządzenia lub udostępnienia prospektu emisyjnego, memorandum informacyjnego lub jakiegokolwiek innego dokumentu ofertowego, wraz ze wskazaniem podstawy prawnej takiego wyłączenia – jeżeli zgodnie z przepisami prawa powszechnie obowiązującego emisja obligacji nie wiąże się z obowiązkiem sporządzenia lub udostępnienia takich dokumentów, </w:t>
      </w:r>
    </w:p>
    <w:p w:rsidR="00F17E10" w:rsidRDefault="00F17E10" w:rsidP="00F17E10">
      <w:pPr>
        <w:numPr>
          <w:ilvl w:val="0"/>
          <w:numId w:val="3"/>
        </w:numPr>
        <w:spacing w:after="133"/>
        <w:ind w:left="1117" w:right="0" w:hanging="566"/>
      </w:pPr>
      <w:r>
        <w:t xml:space="preserve">w przypadku wątpliwości powziętych przez Dom Maklerski co do legalności lub prawidłowości emisji obligacji lub sporządzonej dokumentacji emisyjnej, na żądanie Domu Maklerskiego - opinię  kancelarii prawnej w danym przedmiocie – w każdym przypadku, w jakim Dom Maklerski uzna to za uzasadnione,   </w:t>
      </w:r>
    </w:p>
    <w:p w:rsidR="00F17E10" w:rsidRDefault="00F17E10" w:rsidP="00F17E10">
      <w:pPr>
        <w:numPr>
          <w:ilvl w:val="0"/>
          <w:numId w:val="3"/>
        </w:numPr>
        <w:spacing w:after="133"/>
        <w:ind w:left="1117" w:right="0" w:hanging="566"/>
      </w:pPr>
      <w:r>
        <w:t xml:space="preserve">parametry emisji obligacji zgodnie ze schematem wskazanym poniżej. </w:t>
      </w:r>
    </w:p>
    <w:p w:rsidR="00F17E10" w:rsidRDefault="00F17E10" w:rsidP="00F17E10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F17E10" w:rsidRDefault="00F17E10" w:rsidP="00F17E10">
      <w:pPr>
        <w:spacing w:after="137" w:line="259" w:lineRule="auto"/>
        <w:ind w:left="561" w:right="0" w:hanging="10"/>
        <w:jc w:val="left"/>
      </w:pPr>
      <w:r>
        <w:rPr>
          <w:u w:val="single" w:color="000000"/>
        </w:rPr>
        <w:t>Parametry emisji obligacji:</w:t>
      </w:r>
      <w:r>
        <w:t xml:space="preserve"> </w:t>
      </w:r>
    </w:p>
    <w:p w:rsidR="00F17E10" w:rsidRDefault="00F17E10" w:rsidP="00F17E10">
      <w:pPr>
        <w:tabs>
          <w:tab w:val="center" w:pos="655"/>
          <w:tab w:val="center" w:pos="3194"/>
        </w:tabs>
        <w:spacing w:after="146" w:line="26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</w:t>
      </w:r>
      <w:r>
        <w:tab/>
      </w:r>
      <w:r>
        <w:rPr>
          <w:b/>
        </w:rPr>
        <w:t xml:space="preserve">specyfikacja emitowanych obligacji, w tym: </w:t>
      </w:r>
    </w:p>
    <w:p w:rsidR="00F17E10" w:rsidRDefault="00F17E10" w:rsidP="00F17E10">
      <w:pPr>
        <w:pStyle w:val="Akapitzlist"/>
        <w:numPr>
          <w:ilvl w:val="2"/>
          <w:numId w:val="15"/>
        </w:numPr>
        <w:tabs>
          <w:tab w:val="center" w:pos="1232"/>
          <w:tab w:val="center" w:pos="3296"/>
        </w:tabs>
        <w:spacing w:after="111"/>
        <w:ind w:left="1701" w:right="0" w:hanging="425"/>
        <w:jc w:val="left"/>
      </w:pPr>
      <w:r>
        <w:t>rodzaj emitowanych obligacji: [</w:t>
      </w:r>
      <w:r w:rsidRPr="00F17E10">
        <w:rPr>
          <w:i/>
        </w:rPr>
        <w:t>opis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15"/>
        </w:numPr>
        <w:tabs>
          <w:tab w:val="center" w:pos="1232"/>
          <w:tab w:val="center" w:pos="3652"/>
        </w:tabs>
        <w:spacing w:after="123"/>
        <w:ind w:left="1701" w:right="0" w:hanging="425"/>
        <w:jc w:val="left"/>
      </w:pPr>
      <w:r>
        <w:t>seria i numery emitowanych obligacji: [</w:t>
      </w:r>
      <w:r w:rsidRPr="00F17E10">
        <w:rPr>
          <w:i/>
        </w:rPr>
        <w:t>opis</w:t>
      </w:r>
      <w:r>
        <w:t>],</w:t>
      </w:r>
    </w:p>
    <w:p w:rsidR="00F17E10" w:rsidRDefault="00F17E10" w:rsidP="00F17E10">
      <w:pPr>
        <w:pStyle w:val="Akapitzlist"/>
        <w:numPr>
          <w:ilvl w:val="2"/>
          <w:numId w:val="15"/>
        </w:numPr>
        <w:tabs>
          <w:tab w:val="center" w:pos="1232"/>
          <w:tab w:val="center" w:pos="3652"/>
        </w:tabs>
        <w:spacing w:after="123"/>
        <w:ind w:left="1701" w:right="0" w:hanging="425"/>
        <w:jc w:val="left"/>
      </w:pPr>
      <w:r>
        <w:tab/>
        <w:t>wartość nominalna emitowanej obligacji: [</w:t>
      </w:r>
      <w:r w:rsidRPr="00F17E10">
        <w:rPr>
          <w:i/>
        </w:rPr>
        <w:t>opis</w:t>
      </w:r>
      <w:r>
        <w:t>],</w:t>
      </w:r>
    </w:p>
    <w:p w:rsidR="00F17E10" w:rsidRDefault="00F17E10" w:rsidP="00F17E10">
      <w:pPr>
        <w:pStyle w:val="Akapitzlist"/>
        <w:numPr>
          <w:ilvl w:val="2"/>
          <w:numId w:val="15"/>
        </w:numPr>
        <w:tabs>
          <w:tab w:val="center" w:pos="1232"/>
          <w:tab w:val="center" w:pos="3652"/>
        </w:tabs>
        <w:spacing w:after="123"/>
        <w:ind w:left="1701" w:right="0" w:hanging="425"/>
        <w:jc w:val="left"/>
      </w:pPr>
      <w:r>
        <w:tab/>
        <w:t>łączna wartość nominalna emitowanych obligacji: [</w:t>
      </w:r>
      <w:r w:rsidRPr="00F17E10">
        <w:rPr>
          <w:i/>
        </w:rPr>
        <w:t>opis</w:t>
      </w:r>
      <w:r>
        <w:t>],</w:t>
      </w:r>
      <w:r w:rsidRPr="00F17E10">
        <w:rPr>
          <w:b/>
        </w:rPr>
        <w:t xml:space="preserve"> </w:t>
      </w:r>
    </w:p>
    <w:p w:rsidR="00F17E10" w:rsidRDefault="00F17E10" w:rsidP="00F17E10">
      <w:pPr>
        <w:pStyle w:val="Akapitzlist"/>
        <w:numPr>
          <w:ilvl w:val="2"/>
          <w:numId w:val="15"/>
        </w:numPr>
        <w:tabs>
          <w:tab w:val="center" w:pos="1232"/>
          <w:tab w:val="center" w:pos="3586"/>
        </w:tabs>
        <w:spacing w:after="110"/>
        <w:ind w:left="1701" w:right="0" w:hanging="425"/>
        <w:jc w:val="left"/>
      </w:pPr>
      <w:r>
        <w:tab/>
        <w:t>cena emisyjna emitowanej obligacji: [</w:t>
      </w:r>
      <w:r w:rsidRPr="00F17E10">
        <w:rPr>
          <w:i/>
        </w:rPr>
        <w:t>opis</w:t>
      </w:r>
      <w:r>
        <w:t>],</w:t>
      </w:r>
      <w:r w:rsidRPr="00F17E10">
        <w:rPr>
          <w:b/>
        </w:rPr>
        <w:t xml:space="preserve"> </w:t>
      </w:r>
    </w:p>
    <w:p w:rsidR="00F17E10" w:rsidRDefault="00F17E10" w:rsidP="00F17E10">
      <w:pPr>
        <w:pStyle w:val="Akapitzlist"/>
        <w:numPr>
          <w:ilvl w:val="2"/>
          <w:numId w:val="15"/>
        </w:numPr>
        <w:tabs>
          <w:tab w:val="center" w:pos="1232"/>
          <w:tab w:val="center" w:pos="4503"/>
        </w:tabs>
        <w:ind w:left="1701" w:right="0" w:hanging="425"/>
        <w:jc w:val="left"/>
      </w:pPr>
      <w:r>
        <w:tab/>
        <w:t>maksymalna liczba obligacji proponowanych do nabycia: [</w:t>
      </w:r>
      <w:r w:rsidRPr="00F17E10">
        <w:rPr>
          <w:i/>
        </w:rPr>
        <w:t>opis</w:t>
      </w:r>
      <w:r>
        <w:t>],</w:t>
      </w:r>
      <w:r w:rsidRPr="00F17E10">
        <w:rPr>
          <w:b/>
        </w:rPr>
        <w:t xml:space="preserve"> </w:t>
      </w:r>
    </w:p>
    <w:p w:rsidR="00F17E10" w:rsidRDefault="00F17E10" w:rsidP="00F17E10">
      <w:pPr>
        <w:pStyle w:val="Akapitzlist"/>
        <w:numPr>
          <w:ilvl w:val="2"/>
          <w:numId w:val="15"/>
        </w:numPr>
        <w:tabs>
          <w:tab w:val="center" w:pos="1232"/>
          <w:tab w:val="center" w:pos="4314"/>
        </w:tabs>
        <w:spacing w:after="108"/>
        <w:ind w:left="1701" w:right="0" w:hanging="425"/>
        <w:jc w:val="left"/>
      </w:pPr>
      <w:r>
        <w:tab/>
        <w:t>wzmianka o świadczeniach wynikających z obligacji: [</w:t>
      </w:r>
      <w:r w:rsidRPr="00F17E10">
        <w:rPr>
          <w:i/>
        </w:rPr>
        <w:t>opis</w:t>
      </w:r>
      <w:r>
        <w:t>],</w:t>
      </w:r>
      <w:r w:rsidRPr="00F17E10">
        <w:rPr>
          <w:b/>
        </w:rPr>
        <w:t xml:space="preserve"> </w:t>
      </w:r>
    </w:p>
    <w:p w:rsidR="00F17E10" w:rsidRPr="00F17E10" w:rsidRDefault="00F17E10" w:rsidP="00F17E10">
      <w:pPr>
        <w:pStyle w:val="Akapitzlist"/>
        <w:numPr>
          <w:ilvl w:val="2"/>
          <w:numId w:val="15"/>
        </w:numPr>
        <w:spacing w:after="35" w:line="416" w:lineRule="auto"/>
        <w:ind w:left="1701" w:right="3786" w:hanging="425"/>
        <w:jc w:val="left"/>
      </w:pPr>
      <w:r>
        <w:t>wzmianka o celu emisji obligacji: [</w:t>
      </w:r>
      <w:r w:rsidRPr="00F17E10">
        <w:rPr>
          <w:i/>
        </w:rPr>
        <w:t>opis</w:t>
      </w:r>
      <w:r>
        <w:t>],</w:t>
      </w:r>
    </w:p>
    <w:p w:rsidR="00F17E10" w:rsidRDefault="00F17E10" w:rsidP="00F17E10">
      <w:pPr>
        <w:spacing w:after="35" w:line="416" w:lineRule="auto"/>
        <w:ind w:right="3786"/>
        <w:jc w:val="left"/>
      </w:pPr>
      <w:r>
        <w:t xml:space="preserve">2) </w:t>
      </w:r>
      <w:r>
        <w:tab/>
      </w:r>
      <w:r w:rsidRPr="00F17E10">
        <w:rPr>
          <w:b/>
        </w:rPr>
        <w:t>wzmianka o zbywalności obligacji</w:t>
      </w:r>
      <w:r>
        <w:t>: [</w:t>
      </w:r>
      <w:r w:rsidRPr="00F17E10">
        <w:rPr>
          <w:i/>
        </w:rPr>
        <w:t>opis</w:t>
      </w:r>
      <w:r>
        <w:t>],</w:t>
      </w:r>
    </w:p>
    <w:p w:rsidR="00F17E10" w:rsidRDefault="00F17E10" w:rsidP="00F17E10">
      <w:pPr>
        <w:spacing w:after="35" w:line="416" w:lineRule="auto"/>
        <w:ind w:right="3786"/>
        <w:jc w:val="left"/>
      </w:pPr>
      <w:r>
        <w:t xml:space="preserve">3) </w:t>
      </w:r>
      <w:r>
        <w:tab/>
      </w:r>
      <w:r w:rsidRPr="00F17E10">
        <w:rPr>
          <w:b/>
        </w:rPr>
        <w:t>oprocentowanie obligacji, w tym</w:t>
      </w:r>
      <w:r>
        <w:t xml:space="preserve">: </w:t>
      </w:r>
    </w:p>
    <w:p w:rsidR="00F17E10" w:rsidRDefault="00F17E10" w:rsidP="00F17E10">
      <w:pPr>
        <w:pStyle w:val="Akapitzlist"/>
        <w:numPr>
          <w:ilvl w:val="2"/>
          <w:numId w:val="17"/>
        </w:numPr>
        <w:tabs>
          <w:tab w:val="center" w:pos="1232"/>
          <w:tab w:val="center" w:pos="3190"/>
        </w:tabs>
        <w:spacing w:after="126"/>
        <w:ind w:left="1701" w:right="0" w:hanging="425"/>
        <w:jc w:val="left"/>
      </w:pPr>
      <w:r>
        <w:t>wysokość oprocentowania: [</w:t>
      </w:r>
      <w:r w:rsidRPr="00F17E10">
        <w:rPr>
          <w:i/>
        </w:rPr>
        <w:t>opis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17"/>
        </w:numPr>
        <w:tabs>
          <w:tab w:val="center" w:pos="1232"/>
          <w:tab w:val="center" w:pos="4171"/>
        </w:tabs>
        <w:spacing w:after="108"/>
        <w:ind w:left="1701" w:right="0" w:hanging="425"/>
        <w:jc w:val="left"/>
      </w:pPr>
      <w:r>
        <w:tab/>
        <w:t>dzień, od którego naliczane jest oprocentowanie: [</w:t>
      </w:r>
      <w:r w:rsidRPr="00F17E10">
        <w:rPr>
          <w:i/>
        </w:rPr>
        <w:t>data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17"/>
        </w:numPr>
        <w:tabs>
          <w:tab w:val="center" w:pos="1232"/>
          <w:tab w:val="center" w:pos="4486"/>
        </w:tabs>
        <w:spacing w:after="128"/>
        <w:ind w:left="1701" w:right="0" w:hanging="425"/>
        <w:jc w:val="left"/>
      </w:pPr>
      <w:r>
        <w:tab/>
        <w:t>termin ustalenia praw do otrzymania odsetek z obligacji: [</w:t>
      </w:r>
      <w:r w:rsidRPr="00F17E10">
        <w:rPr>
          <w:i/>
        </w:rPr>
        <w:t>data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17"/>
        </w:numPr>
        <w:tabs>
          <w:tab w:val="center" w:pos="1232"/>
          <w:tab w:val="center" w:pos="3158"/>
        </w:tabs>
        <w:ind w:left="1701" w:right="0" w:hanging="425"/>
        <w:jc w:val="left"/>
      </w:pPr>
      <w:r>
        <w:tab/>
        <w:t>terminy płatności odsetek: [</w:t>
      </w:r>
      <w:r w:rsidRPr="00F17E10">
        <w:rPr>
          <w:i/>
        </w:rPr>
        <w:t>daty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17"/>
        </w:numPr>
        <w:tabs>
          <w:tab w:val="center" w:pos="1232"/>
          <w:tab w:val="center" w:pos="3146"/>
        </w:tabs>
        <w:spacing w:after="131"/>
        <w:ind w:left="1701" w:right="0" w:hanging="425"/>
        <w:jc w:val="left"/>
      </w:pPr>
      <w:r>
        <w:tab/>
        <w:t>sposób płatności odsetek: [</w:t>
      </w:r>
      <w:r w:rsidRPr="00F17E10">
        <w:rPr>
          <w:i/>
        </w:rPr>
        <w:t>opis</w:t>
      </w:r>
      <w:r>
        <w:t xml:space="preserve">], </w:t>
      </w:r>
    </w:p>
    <w:p w:rsidR="00F17E10" w:rsidRDefault="00F17E10" w:rsidP="00F17E10">
      <w:pPr>
        <w:numPr>
          <w:ilvl w:val="0"/>
          <w:numId w:val="4"/>
        </w:numPr>
        <w:spacing w:after="146" w:line="268" w:lineRule="auto"/>
        <w:ind w:left="1117" w:right="0" w:hanging="566"/>
        <w:jc w:val="left"/>
      </w:pPr>
      <w:r>
        <w:rPr>
          <w:b/>
        </w:rPr>
        <w:t xml:space="preserve">zasady przeliczania wartości świadczenia niepieniężnego na świadczenie pieniężne (jeżeli warunki emisji obligacji tak stanowią): </w:t>
      </w:r>
      <w:r>
        <w:t>[</w:t>
      </w:r>
      <w:r>
        <w:rPr>
          <w:i/>
        </w:rPr>
        <w:t>opis</w:t>
      </w:r>
      <w:r>
        <w:t xml:space="preserve">], </w:t>
      </w:r>
    </w:p>
    <w:p w:rsidR="00F17E10" w:rsidRDefault="00F17E10" w:rsidP="00F17E10">
      <w:pPr>
        <w:numPr>
          <w:ilvl w:val="0"/>
          <w:numId w:val="4"/>
        </w:numPr>
        <w:spacing w:after="146" w:line="268" w:lineRule="auto"/>
        <w:ind w:left="1117" w:right="0" w:hanging="566"/>
        <w:jc w:val="left"/>
      </w:pPr>
      <w:r>
        <w:rPr>
          <w:b/>
        </w:rPr>
        <w:t>wzmianka, czy przewidywana jest możliwość zaliczenia wierzytelności z tytułu wykupu obligacji na poczet ceny nabycia obligacji nowej emisji</w:t>
      </w:r>
      <w:r>
        <w:t>: [</w:t>
      </w:r>
      <w:r>
        <w:rPr>
          <w:i/>
        </w:rPr>
        <w:t>opis</w:t>
      </w:r>
      <w:r>
        <w:t xml:space="preserve">], </w:t>
      </w:r>
    </w:p>
    <w:p w:rsidR="00F17E10" w:rsidRDefault="00F17E10" w:rsidP="00F17E10">
      <w:pPr>
        <w:numPr>
          <w:ilvl w:val="0"/>
          <w:numId w:val="4"/>
        </w:numPr>
        <w:spacing w:after="146" w:line="268" w:lineRule="auto"/>
        <w:ind w:left="1117" w:right="0" w:hanging="566"/>
        <w:jc w:val="left"/>
      </w:pPr>
      <w:r>
        <w:rPr>
          <w:b/>
        </w:rPr>
        <w:t>zabezpieczenie emitowanych obligacji</w:t>
      </w:r>
      <w:r>
        <w:t>: [</w:t>
      </w:r>
      <w:r>
        <w:rPr>
          <w:i/>
        </w:rPr>
        <w:t>rodzaj zabezpieczenia</w:t>
      </w:r>
      <w:r>
        <w:t>],</w:t>
      </w:r>
    </w:p>
    <w:p w:rsidR="00F17E10" w:rsidRDefault="00F17E10" w:rsidP="00F17E10">
      <w:pPr>
        <w:spacing w:after="146" w:line="268" w:lineRule="auto"/>
        <w:ind w:left="1117" w:right="0" w:firstLine="0"/>
        <w:jc w:val="left"/>
      </w:pPr>
    </w:p>
    <w:p w:rsidR="00F17E10" w:rsidRDefault="00F17E10" w:rsidP="00F17E10">
      <w:pPr>
        <w:numPr>
          <w:ilvl w:val="0"/>
          <w:numId w:val="4"/>
        </w:numPr>
        <w:spacing w:after="18" w:line="409" w:lineRule="auto"/>
        <w:ind w:left="1117" w:right="0" w:hanging="566"/>
        <w:jc w:val="left"/>
      </w:pPr>
      <w:r>
        <w:rPr>
          <w:b/>
        </w:rPr>
        <w:lastRenderedPageBreak/>
        <w:t>przydział obligacji</w:t>
      </w:r>
      <w:r>
        <w:t>: [</w:t>
      </w:r>
      <w:r>
        <w:rPr>
          <w:i/>
        </w:rPr>
        <w:t>data przydziału</w:t>
      </w:r>
      <w:r>
        <w:t xml:space="preserve">] , 8) </w:t>
      </w:r>
      <w:r>
        <w:tab/>
      </w:r>
      <w:r>
        <w:rPr>
          <w:b/>
        </w:rPr>
        <w:t>wykup obligacji, w tym:</w:t>
      </w:r>
      <w:r>
        <w:t xml:space="preserve"> </w:t>
      </w:r>
    </w:p>
    <w:p w:rsidR="00F17E10" w:rsidRDefault="00F17E10" w:rsidP="00F17E10">
      <w:pPr>
        <w:pStyle w:val="Akapitzlist"/>
        <w:numPr>
          <w:ilvl w:val="2"/>
          <w:numId w:val="19"/>
        </w:numPr>
        <w:tabs>
          <w:tab w:val="center" w:pos="1232"/>
          <w:tab w:val="center" w:pos="2679"/>
        </w:tabs>
        <w:spacing w:after="130"/>
        <w:ind w:left="1701" w:right="0" w:hanging="425"/>
        <w:jc w:val="left"/>
      </w:pPr>
      <w:r>
        <w:t>termin wykupu: [</w:t>
      </w:r>
      <w:r w:rsidRPr="00F17E10">
        <w:rPr>
          <w:i/>
        </w:rPr>
        <w:t>data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19"/>
        </w:numPr>
        <w:tabs>
          <w:tab w:val="center" w:pos="1232"/>
          <w:tab w:val="center" w:pos="5105"/>
        </w:tabs>
        <w:spacing w:after="112"/>
        <w:ind w:left="1701" w:right="0" w:hanging="425"/>
        <w:jc w:val="left"/>
      </w:pPr>
      <w:r>
        <w:tab/>
        <w:t>termin ustalenia praw do otrzymania płatności kwoty wykupu obligacji: [</w:t>
      </w:r>
      <w:r w:rsidRPr="00F17E10">
        <w:rPr>
          <w:i/>
        </w:rPr>
        <w:t>data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19"/>
        </w:numPr>
        <w:tabs>
          <w:tab w:val="center" w:pos="1232"/>
          <w:tab w:val="center" w:pos="2735"/>
        </w:tabs>
        <w:spacing w:after="112"/>
        <w:ind w:left="1701" w:right="0" w:hanging="425"/>
        <w:jc w:val="left"/>
      </w:pPr>
      <w:r>
        <w:tab/>
        <w:t>warunki wykupu: [</w:t>
      </w:r>
      <w:r w:rsidRPr="00F17E10">
        <w:rPr>
          <w:i/>
        </w:rPr>
        <w:t>opis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19"/>
        </w:numPr>
        <w:tabs>
          <w:tab w:val="center" w:pos="1232"/>
          <w:tab w:val="center" w:pos="2729"/>
        </w:tabs>
        <w:spacing w:after="126"/>
        <w:ind w:left="1701" w:right="0" w:hanging="425"/>
        <w:jc w:val="left"/>
      </w:pPr>
      <w:r>
        <w:tab/>
        <w:t>miejsce wykupu: [</w:t>
      </w:r>
      <w:r w:rsidRPr="00F17E10">
        <w:rPr>
          <w:i/>
        </w:rPr>
        <w:t>opis</w:t>
      </w:r>
      <w:r>
        <w:t xml:space="preserve">], </w:t>
      </w:r>
    </w:p>
    <w:p w:rsidR="00F17E10" w:rsidRDefault="00F17E10" w:rsidP="00F17E10">
      <w:pPr>
        <w:numPr>
          <w:ilvl w:val="0"/>
          <w:numId w:val="5"/>
        </w:numPr>
        <w:spacing w:after="16" w:line="268" w:lineRule="auto"/>
        <w:ind w:left="1117" w:right="0" w:hanging="566"/>
        <w:jc w:val="left"/>
      </w:pPr>
      <w:r>
        <w:rPr>
          <w:b/>
        </w:rPr>
        <w:t xml:space="preserve">wzmianka, czy zawarta została umowa z administratorem zastawu lub </w:t>
      </w:r>
    </w:p>
    <w:p w:rsidR="00F17E10" w:rsidRDefault="00F17E10" w:rsidP="00F17E10">
      <w:pPr>
        <w:spacing w:after="123" w:line="305" w:lineRule="auto"/>
        <w:ind w:left="1133" w:right="0" w:firstLine="0"/>
      </w:pPr>
      <w:r>
        <w:rPr>
          <w:b/>
        </w:rPr>
        <w:t>administratorem hipoteki:</w:t>
      </w:r>
      <w:r>
        <w:t xml:space="preserve"> [</w:t>
      </w:r>
      <w:r>
        <w:rPr>
          <w:i/>
        </w:rPr>
        <w:t>wskazanie takiego administratora</w:t>
      </w:r>
      <w:r>
        <w:t xml:space="preserve">], </w:t>
      </w:r>
    </w:p>
    <w:p w:rsidR="00F17E10" w:rsidRDefault="00F17E10" w:rsidP="00F17E10">
      <w:pPr>
        <w:numPr>
          <w:ilvl w:val="0"/>
          <w:numId w:val="5"/>
        </w:numPr>
        <w:spacing w:after="146" w:line="268" w:lineRule="auto"/>
        <w:ind w:left="1117" w:right="0" w:hanging="566"/>
        <w:jc w:val="left"/>
      </w:pPr>
      <w:r>
        <w:rPr>
          <w:b/>
        </w:rPr>
        <w:t xml:space="preserve">wzmianka, czy ustanowione zostało zgromadzenie obligatariuszy: </w:t>
      </w:r>
      <w:r>
        <w:t>[</w:t>
      </w:r>
      <w:r>
        <w:rPr>
          <w:i/>
        </w:rPr>
        <w:t>tak / nie</w:t>
      </w:r>
      <w:r>
        <w:t xml:space="preserve">], </w:t>
      </w:r>
    </w:p>
    <w:p w:rsidR="00F17E10" w:rsidRDefault="00F17E10" w:rsidP="00F17E10">
      <w:pPr>
        <w:numPr>
          <w:ilvl w:val="0"/>
          <w:numId w:val="5"/>
        </w:numPr>
        <w:spacing w:after="126" w:line="268" w:lineRule="auto"/>
        <w:ind w:left="1117" w:right="0" w:hanging="566"/>
        <w:jc w:val="left"/>
      </w:pPr>
      <w:r>
        <w:rPr>
          <w:b/>
        </w:rPr>
        <w:t xml:space="preserve">informacja, czy uprawnionym z obligacji lub Emitentowi przysługuje prawo wcześniejszego ich przedstawienia do wykupu: </w:t>
      </w:r>
      <w:r>
        <w:t>[</w:t>
      </w:r>
      <w:r>
        <w:rPr>
          <w:i/>
        </w:rPr>
        <w:t>tak / nie</w:t>
      </w:r>
      <w:r>
        <w:t xml:space="preserve">]. </w:t>
      </w:r>
    </w:p>
    <w:p w:rsidR="00F17E10" w:rsidRDefault="00F17E10" w:rsidP="00F17E10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17E10" w:rsidRDefault="00F17E10" w:rsidP="00F17E10">
      <w:pPr>
        <w:spacing w:after="146" w:line="268" w:lineRule="auto"/>
        <w:ind w:left="566" w:right="0" w:hanging="566"/>
        <w:jc w:val="left"/>
      </w:pPr>
      <w:r>
        <w:rPr>
          <w:b/>
        </w:rPr>
        <w:t xml:space="preserve">4. W przypadku emisji certyfikatów inwestycyjnych Emitent zobowiązany będzie przedstawić Domowi Maklerskiemu następujące dokumenty / informacje: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kopię aktu notarialnego obejmującego zmiany statutu Emitenta w zakresie emisji certyfikatów inwestycyjnych podlegających rejestracji, aktualny tekst jednolity statutu Emitenta, a także kopię aktualnego tekstu jednolitego statutu towarzystwa zarządzającego Emitentem,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kopię uchwały towarzystwa o emisji certyfikatów inwestycyjnych przez Emitenta, o ile towarzystwo podjęło taką uchwałę, 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kopię uchwały zgromadzenia inwestorów (lub rady inwestorów) o emisji certyfikatów inwestycyjnych (jeśli statut Emitenta tak stanowi),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kopię warunków emisji certyfikatów inwestycyjnych wraz z kompletem załączników,  </w:t>
      </w:r>
    </w:p>
    <w:p w:rsidR="00F17E10" w:rsidRDefault="00F17E10" w:rsidP="00F17E10">
      <w:pPr>
        <w:numPr>
          <w:ilvl w:val="2"/>
          <w:numId w:val="7"/>
        </w:numPr>
        <w:spacing w:after="133"/>
        <w:ind w:left="1117" w:right="0" w:hanging="566"/>
      </w:pPr>
      <w:r>
        <w:t xml:space="preserve">kopię propozycji nabycia certyfikatów inwestycyjnych,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kopie formularzy zapisu na certyfikaty inwestycyjne,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kopię uchwały towarzystwa o przydziale certyfikatów inwestycyjnych, o ile taka uchwała została podjęta, lub pisemne oświadczenie podmiotu zarządzającego Emitentem o dokonaniu przydziału certyfikatów inwestycyjnych wraz z datą przydziału,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listę osób, które złożyły zapisy na certyfikaty inwestycyjne lub przyjęły propozycję nabycia certyfikatów inwestycyjnych,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informację, czy statut funduszu inwestycyjnego przewiduje możliwość jednoczesnego przeprowadzenia kilku emisji certyfikatów inwestycyjnych i czy możliwość ta odnosi się do serii certyfikatów inwestycyjnych podlegających rejestracji, 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informację, czy przy zapisach na certyfikaty inwestycyjne danej serii mogą być pobierane opłaty manipulacyjne (ewentualnie ich wysokość i sposób pobierania),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dokument KID,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wszelkie dokumenty ofertowe oraz marketingowe dotyczące certyfikatów inwestycyjnych (np. memoranda, prospekty, dokumenty informacyjne etc.),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opis procesu oferowania certyfikatów inwestycyjnych przez Emitenta albo inny podmiot oferujący, chyba że Emitent nie oferował certyfikatów inwestycyjnych,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oświadczenie Emitenta, że emisja certyfikatów inwestycyjnych danej serii nie wiąże się z obowiązkiem sporządzenia lub udostępnienia prospektu emisyjnego, memorandum informacyjnego lub jakiegokolwiek innego dokumentu ofertowego, wraz ze wskazaniem podstawy prawnej takiego wyłączenia – jeżeli zgodnie z przepisami prawa powszechnie obowiązującego </w:t>
      </w:r>
      <w:r>
        <w:lastRenderedPageBreak/>
        <w:t xml:space="preserve">emisja certyfikatów inwestycyjnych nie wiąże się z obowiązkiem sporządzenia lub udostępnienia takich dokumentów, </w:t>
      </w:r>
    </w:p>
    <w:p w:rsidR="00F17E10" w:rsidRDefault="00F17E10" w:rsidP="00F17E10">
      <w:pPr>
        <w:numPr>
          <w:ilvl w:val="2"/>
          <w:numId w:val="7"/>
        </w:numPr>
        <w:ind w:left="1117" w:right="0" w:hanging="566"/>
      </w:pPr>
      <w:r>
        <w:t xml:space="preserve">dyspozycję deponowania certyfikatów inwestycyjnych, o ile taka została złożona, </w:t>
      </w:r>
    </w:p>
    <w:p w:rsidR="00F17E10" w:rsidRDefault="00F17E10" w:rsidP="00F17E10">
      <w:pPr>
        <w:numPr>
          <w:ilvl w:val="2"/>
          <w:numId w:val="7"/>
        </w:numPr>
        <w:spacing w:after="133"/>
        <w:ind w:left="1117" w:right="0" w:hanging="566"/>
      </w:pPr>
      <w:r>
        <w:t xml:space="preserve">parametry emisji certyfikatów inwestycyjnych zgodnie ze schematem wskazanym poniżej. </w:t>
      </w:r>
    </w:p>
    <w:p w:rsidR="00F17E10" w:rsidRDefault="00F17E10" w:rsidP="00F17E10">
      <w:pPr>
        <w:spacing w:after="171" w:line="259" w:lineRule="auto"/>
        <w:ind w:left="0" w:right="0" w:firstLine="0"/>
        <w:jc w:val="left"/>
      </w:pPr>
      <w:r>
        <w:t xml:space="preserve"> </w:t>
      </w:r>
    </w:p>
    <w:p w:rsidR="00F17E10" w:rsidRDefault="00F17E10" w:rsidP="00F17E10">
      <w:pPr>
        <w:spacing w:after="137" w:line="259" w:lineRule="auto"/>
        <w:ind w:left="561" w:right="0" w:hanging="10"/>
        <w:jc w:val="left"/>
      </w:pPr>
      <w:r>
        <w:rPr>
          <w:u w:val="single" w:color="000000"/>
        </w:rPr>
        <w:t>Parametry emisji certyfikatów inwestycyjnych:</w:t>
      </w:r>
      <w:r>
        <w:t xml:space="preserve"> </w:t>
      </w:r>
    </w:p>
    <w:p w:rsidR="00F17E10" w:rsidRDefault="00F17E10" w:rsidP="00F17E10">
      <w:pPr>
        <w:numPr>
          <w:ilvl w:val="2"/>
          <w:numId w:val="6"/>
        </w:numPr>
        <w:spacing w:after="168" w:line="268" w:lineRule="auto"/>
        <w:ind w:left="1117" w:right="0" w:hanging="566"/>
        <w:jc w:val="left"/>
      </w:pPr>
      <w:r>
        <w:rPr>
          <w:b/>
        </w:rPr>
        <w:t xml:space="preserve">specyfikacja emitowanych certyfikatów inwestycyjnych, w tym: </w:t>
      </w:r>
    </w:p>
    <w:p w:rsidR="00F17E10" w:rsidRDefault="00F17E10" w:rsidP="00F17E10">
      <w:pPr>
        <w:pStyle w:val="Akapitzlist"/>
        <w:numPr>
          <w:ilvl w:val="2"/>
          <w:numId w:val="22"/>
        </w:numPr>
        <w:tabs>
          <w:tab w:val="center" w:pos="1232"/>
          <w:tab w:val="center" w:pos="4159"/>
        </w:tabs>
        <w:spacing w:after="125"/>
        <w:ind w:left="1701" w:right="0" w:hanging="425"/>
        <w:jc w:val="left"/>
      </w:pPr>
      <w:r>
        <w:tab/>
        <w:t>rodzaj emitowanych certyfikatów inwestycyjnych: [</w:t>
      </w:r>
      <w:r w:rsidRPr="00F17E10">
        <w:rPr>
          <w:i/>
        </w:rPr>
        <w:t>opis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22"/>
        </w:numPr>
        <w:tabs>
          <w:tab w:val="center" w:pos="1232"/>
          <w:tab w:val="center" w:pos="4102"/>
        </w:tabs>
        <w:spacing w:after="111"/>
        <w:ind w:left="1701" w:right="0" w:hanging="425"/>
        <w:jc w:val="left"/>
      </w:pPr>
      <w:r>
        <w:tab/>
        <w:t>seria emitowanych certyfikatów inwestycyjnych: [</w:t>
      </w:r>
      <w:r w:rsidRPr="00F17E10">
        <w:rPr>
          <w:i/>
        </w:rPr>
        <w:t>opis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22"/>
        </w:numPr>
        <w:tabs>
          <w:tab w:val="center" w:pos="1232"/>
          <w:tab w:val="center" w:pos="3851"/>
        </w:tabs>
        <w:ind w:left="1701" w:right="0" w:hanging="425"/>
        <w:jc w:val="left"/>
      </w:pPr>
      <w:r>
        <w:tab/>
        <w:t>cena emisyjna certyfikatu inwestycyjnego: [</w:t>
      </w:r>
      <w:r w:rsidRPr="00F17E10">
        <w:rPr>
          <w:i/>
        </w:rPr>
        <w:t>opis</w:t>
      </w:r>
      <w:r>
        <w:t xml:space="preserve">], </w:t>
      </w:r>
    </w:p>
    <w:p w:rsidR="00F17E10" w:rsidRDefault="00F17E10" w:rsidP="00F17E10">
      <w:pPr>
        <w:pStyle w:val="Akapitzlist"/>
        <w:numPr>
          <w:ilvl w:val="2"/>
          <w:numId w:val="22"/>
        </w:numPr>
        <w:tabs>
          <w:tab w:val="center" w:pos="1232"/>
          <w:tab w:val="center" w:pos="5036"/>
        </w:tabs>
        <w:spacing w:after="121"/>
        <w:ind w:left="1701" w:right="0" w:hanging="425"/>
        <w:jc w:val="left"/>
      </w:pPr>
      <w:r>
        <w:tab/>
        <w:t>łączna wartość nominalna emitowanych certyfikatów inwestycyjnych: [</w:t>
      </w:r>
      <w:r w:rsidRPr="00F17E10">
        <w:rPr>
          <w:i/>
        </w:rPr>
        <w:t>opis</w:t>
      </w:r>
      <w:r>
        <w:t>],</w:t>
      </w:r>
      <w:r w:rsidRPr="00F17E10">
        <w:rPr>
          <w:b/>
        </w:rPr>
        <w:t xml:space="preserve"> </w:t>
      </w:r>
    </w:p>
    <w:p w:rsidR="00F17E10" w:rsidRDefault="00F17E10" w:rsidP="00F17E10">
      <w:pPr>
        <w:pStyle w:val="Akapitzlist"/>
        <w:numPr>
          <w:ilvl w:val="2"/>
          <w:numId w:val="22"/>
        </w:numPr>
        <w:tabs>
          <w:tab w:val="center" w:pos="1232"/>
          <w:tab w:val="right" w:pos="9075"/>
        </w:tabs>
        <w:spacing w:after="131"/>
        <w:ind w:left="1701" w:right="0" w:hanging="425"/>
        <w:jc w:val="left"/>
      </w:pPr>
      <w:r>
        <w:tab/>
        <w:t>maksymalna liczba certyfikatów inwestycyjnych proponowanych do nabycia: [</w:t>
      </w:r>
      <w:r w:rsidRPr="00F17E10">
        <w:rPr>
          <w:i/>
        </w:rPr>
        <w:t>opis</w:t>
      </w:r>
      <w:r>
        <w:t>],</w:t>
      </w:r>
      <w:r w:rsidRPr="00F17E10">
        <w:rPr>
          <w:b/>
        </w:rPr>
        <w:t xml:space="preserve"> </w:t>
      </w:r>
    </w:p>
    <w:p w:rsidR="00F17E10" w:rsidRDefault="00F17E10" w:rsidP="00F17E10">
      <w:pPr>
        <w:numPr>
          <w:ilvl w:val="2"/>
          <w:numId w:val="6"/>
        </w:numPr>
        <w:spacing w:after="16" w:line="268" w:lineRule="auto"/>
        <w:ind w:left="1117" w:right="0" w:hanging="566"/>
        <w:jc w:val="left"/>
      </w:pPr>
      <w:r>
        <w:rPr>
          <w:b/>
        </w:rPr>
        <w:t xml:space="preserve">typ inwestorów funduszu inwestycyjnego dokonującego emisji certyfikatów </w:t>
      </w:r>
    </w:p>
    <w:p w:rsidR="00F17E10" w:rsidRDefault="00F17E10" w:rsidP="00F17E10">
      <w:pPr>
        <w:spacing w:after="123" w:line="305" w:lineRule="auto"/>
        <w:ind w:left="1133" w:right="0" w:firstLine="0"/>
      </w:pPr>
      <w:r>
        <w:rPr>
          <w:b/>
        </w:rPr>
        <w:t xml:space="preserve">inwestycyjnych: </w:t>
      </w:r>
      <w:r>
        <w:t>[</w:t>
      </w:r>
      <w:r>
        <w:rPr>
          <w:i/>
        </w:rPr>
        <w:t>inwestorzy detaliczni / inwestorzy instytucjonalni</w:t>
      </w:r>
      <w:r>
        <w:t xml:space="preserve">], </w:t>
      </w:r>
    </w:p>
    <w:p w:rsidR="00F17E10" w:rsidRDefault="00F17E10" w:rsidP="00F17E10">
      <w:pPr>
        <w:numPr>
          <w:ilvl w:val="2"/>
          <w:numId w:val="6"/>
        </w:numPr>
        <w:spacing w:after="146" w:line="268" w:lineRule="auto"/>
        <w:ind w:left="1117" w:right="0" w:hanging="566"/>
        <w:jc w:val="left"/>
      </w:pPr>
      <w:r>
        <w:rPr>
          <w:b/>
        </w:rPr>
        <w:t>wzmianka o polityce inwestycyjnej funduszu inwestycyjnego dokonującego emisji certyfikatów inwestycyjnych</w:t>
      </w:r>
      <w:r>
        <w:t>: [</w:t>
      </w:r>
      <w:r>
        <w:rPr>
          <w:i/>
        </w:rPr>
        <w:t>opis</w:t>
      </w:r>
      <w:r>
        <w:t xml:space="preserve">], </w:t>
      </w:r>
    </w:p>
    <w:p w:rsidR="00F17E10" w:rsidRDefault="00F17E10" w:rsidP="00F17E10">
      <w:pPr>
        <w:numPr>
          <w:ilvl w:val="2"/>
          <w:numId w:val="6"/>
        </w:numPr>
        <w:spacing w:after="170" w:line="268" w:lineRule="auto"/>
        <w:ind w:left="1117" w:right="0" w:hanging="566"/>
        <w:jc w:val="left"/>
      </w:pPr>
      <w:r>
        <w:rPr>
          <w:b/>
        </w:rPr>
        <w:t>wzmianka o ograniczeniu zbywalności certyfikatów inwestycyjnych</w:t>
      </w:r>
      <w:r>
        <w:t>: [</w:t>
      </w:r>
      <w:r>
        <w:rPr>
          <w:i/>
        </w:rPr>
        <w:t>opis</w:t>
      </w:r>
      <w:r>
        <w:t xml:space="preserve">],  </w:t>
      </w:r>
    </w:p>
    <w:p w:rsidR="00F17E10" w:rsidRDefault="00F17E10" w:rsidP="00F17E10">
      <w:pPr>
        <w:numPr>
          <w:ilvl w:val="2"/>
          <w:numId w:val="6"/>
        </w:numPr>
        <w:spacing w:after="123" w:line="305" w:lineRule="auto"/>
        <w:ind w:left="1117" w:right="0" w:hanging="566"/>
        <w:jc w:val="left"/>
      </w:pPr>
      <w:r>
        <w:rPr>
          <w:b/>
        </w:rPr>
        <w:t xml:space="preserve">wzmianka, czy poszczególne serie emitowanych certyfikatów inwestycyjnych przewidują różne uprawnienia </w:t>
      </w:r>
      <w:r>
        <w:t>(</w:t>
      </w:r>
      <w:r>
        <w:rPr>
          <w:i/>
        </w:rPr>
        <w:t>certyfikaty inwestycyjne poszczególnych serii mogą różnić się od siebie związanym z nimi sposobem lub wysokością pobieranych opłat obciążających aktywa funduszu, wysokością udziału w dochodach funduszu, wysokością udziału w aktywach netto funduszu w przypadku jego likwidacji</w:t>
      </w:r>
      <w:r>
        <w:t>): [</w:t>
      </w:r>
      <w:r>
        <w:rPr>
          <w:i/>
        </w:rPr>
        <w:t>opis</w:t>
      </w:r>
      <w:r>
        <w:t xml:space="preserve">], </w:t>
      </w:r>
    </w:p>
    <w:p w:rsidR="00F17E10" w:rsidRDefault="00F17E10" w:rsidP="00F17E10">
      <w:pPr>
        <w:numPr>
          <w:ilvl w:val="2"/>
          <w:numId w:val="6"/>
        </w:numPr>
        <w:spacing w:after="7" w:line="268" w:lineRule="auto"/>
        <w:ind w:left="1117" w:right="0" w:hanging="566"/>
        <w:jc w:val="left"/>
      </w:pPr>
      <w:r>
        <w:rPr>
          <w:b/>
        </w:rPr>
        <w:t xml:space="preserve">wzmianka, czy statut funduszu przewiduje zróżnicowane uprawnienia w zakresie prawa głosu poszczególnych serii emitowanych certyfikatów inwestycyjnych: </w:t>
      </w:r>
    </w:p>
    <w:p w:rsidR="00F17E10" w:rsidRDefault="00F17E10" w:rsidP="00F17E10">
      <w:pPr>
        <w:spacing w:after="123" w:line="305" w:lineRule="auto"/>
        <w:ind w:left="1133" w:right="0" w:firstLine="0"/>
      </w:pPr>
      <w:r>
        <w:t>[</w:t>
      </w:r>
      <w:r>
        <w:rPr>
          <w:i/>
        </w:rPr>
        <w:t>opis</w:t>
      </w:r>
      <w:r>
        <w:t xml:space="preserve">], </w:t>
      </w:r>
    </w:p>
    <w:p w:rsidR="00F17E10" w:rsidRDefault="00F17E10" w:rsidP="00F17E10">
      <w:pPr>
        <w:numPr>
          <w:ilvl w:val="2"/>
          <w:numId w:val="6"/>
        </w:numPr>
        <w:spacing w:after="123" w:line="305" w:lineRule="auto"/>
        <w:ind w:left="1117" w:right="0" w:hanging="566"/>
        <w:jc w:val="left"/>
      </w:pPr>
      <w:r>
        <w:rPr>
          <w:b/>
        </w:rPr>
        <w:t xml:space="preserve">informacja, czy certyfikaty inwestycyjne danej serii zostały w pełni opłacone przed ich wydaniem </w:t>
      </w:r>
      <w:r>
        <w:t>[</w:t>
      </w:r>
      <w:r>
        <w:rPr>
          <w:i/>
        </w:rPr>
        <w:t>jeżeli nie, Dom Maklerski powinien zażądać od Emitenta harmonogramu dokonywania wpłat na certyfikaty inwestycyjne</w:t>
      </w:r>
      <w:r>
        <w:t>]: [</w:t>
      </w:r>
      <w:r>
        <w:rPr>
          <w:i/>
        </w:rPr>
        <w:t>opis</w:t>
      </w:r>
      <w:r>
        <w:t xml:space="preserve">], </w:t>
      </w:r>
    </w:p>
    <w:p w:rsidR="003F55C0" w:rsidRDefault="00F17E10" w:rsidP="00F17E10">
      <w:pPr>
        <w:numPr>
          <w:ilvl w:val="2"/>
          <w:numId w:val="6"/>
        </w:numPr>
        <w:spacing w:after="104" w:line="296" w:lineRule="auto"/>
        <w:ind w:left="1117" w:right="0" w:hanging="566"/>
        <w:jc w:val="left"/>
      </w:pPr>
      <w:r>
        <w:rPr>
          <w:b/>
        </w:rPr>
        <w:t xml:space="preserve">wzmianka, czy statut funduszu przewiduje prawo pierwszeństwa do objęcia przez uczestników nowych certyfikatów inwestycyjnych kolejnej emisji w stosunku do liczby posiadanych przez nich certyfikatów wraz z informacją czy prawo pierwszeństwa zostało zrealizowane w przypadku emisji certyfikatów dla serii podlegającej rejestracji: </w:t>
      </w:r>
      <w:r>
        <w:t>[</w:t>
      </w:r>
      <w:r>
        <w:rPr>
          <w:i/>
        </w:rPr>
        <w:t>opis</w:t>
      </w:r>
      <w:r>
        <w:t xml:space="preserve">]. </w:t>
      </w:r>
    </w:p>
    <w:sectPr w:rsidR="003F55C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4" w:right="987" w:bottom="1285" w:left="1133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18" w:rsidRDefault="00C96A18" w:rsidP="00F17E10">
      <w:pPr>
        <w:spacing w:after="0" w:line="240" w:lineRule="auto"/>
      </w:pPr>
      <w:r>
        <w:separator/>
      </w:r>
    </w:p>
  </w:endnote>
  <w:endnote w:type="continuationSeparator" w:id="0">
    <w:p w:rsidR="00C96A18" w:rsidRDefault="00C96A18" w:rsidP="00F1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87" w:rsidRDefault="007A1F1B">
    <w:pPr>
      <w:tabs>
        <w:tab w:val="center" w:pos="489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87" w:rsidRDefault="007A1F1B">
    <w:pPr>
      <w:tabs>
        <w:tab w:val="center" w:pos="489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D1680" w:rsidRPr="00DD1680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87" w:rsidRDefault="007A1F1B">
    <w:pPr>
      <w:tabs>
        <w:tab w:val="center" w:pos="489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18" w:rsidRDefault="00C96A18" w:rsidP="00F17E10">
      <w:pPr>
        <w:spacing w:after="0" w:line="240" w:lineRule="auto"/>
      </w:pPr>
      <w:r>
        <w:separator/>
      </w:r>
    </w:p>
  </w:footnote>
  <w:footnote w:type="continuationSeparator" w:id="0">
    <w:p w:rsidR="00C96A18" w:rsidRDefault="00C96A18" w:rsidP="00F1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87" w:rsidRDefault="007A1F1B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3A2EBD0" wp14:editId="0C3D47C8">
          <wp:simplePos x="0" y="0"/>
          <wp:positionH relativeFrom="page">
            <wp:posOffset>719455</wp:posOffset>
          </wp:positionH>
          <wp:positionV relativeFrom="page">
            <wp:posOffset>180340</wp:posOffset>
          </wp:positionV>
          <wp:extent cx="1807210" cy="391160"/>
          <wp:effectExtent l="0" t="0" r="0" b="0"/>
          <wp:wrapSquare wrapText="bothSides"/>
          <wp:docPr id="8150" name="Picture 8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" name="Picture 81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721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87" w:rsidRDefault="007A1F1B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D5FC28" wp14:editId="563758D5">
          <wp:simplePos x="0" y="0"/>
          <wp:positionH relativeFrom="page">
            <wp:posOffset>719455</wp:posOffset>
          </wp:positionH>
          <wp:positionV relativeFrom="page">
            <wp:posOffset>180340</wp:posOffset>
          </wp:positionV>
          <wp:extent cx="1807210" cy="391160"/>
          <wp:effectExtent l="0" t="0" r="0" b="0"/>
          <wp:wrapSquare wrapText="bothSides"/>
          <wp:docPr id="28" name="Picture 8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" name="Picture 81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721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4C0"/>
    <w:multiLevelType w:val="hybridMultilevel"/>
    <w:tmpl w:val="74380D20"/>
    <w:lvl w:ilvl="0" w:tplc="E6F27AA4">
      <w:start w:val="9"/>
      <w:numFmt w:val="decimal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22CDE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CE651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38EAC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AE853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4CD7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F6FF9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C09E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63EE2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D76EFD"/>
    <w:multiLevelType w:val="hybridMultilevel"/>
    <w:tmpl w:val="4A8EA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63586"/>
    <w:multiLevelType w:val="hybridMultilevel"/>
    <w:tmpl w:val="169E2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7597D"/>
    <w:multiLevelType w:val="hybridMultilevel"/>
    <w:tmpl w:val="914A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3680E"/>
    <w:multiLevelType w:val="hybridMultilevel"/>
    <w:tmpl w:val="54F48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823D2"/>
    <w:multiLevelType w:val="hybridMultilevel"/>
    <w:tmpl w:val="B5E2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14E69"/>
    <w:multiLevelType w:val="hybridMultilevel"/>
    <w:tmpl w:val="9F282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03B"/>
    <w:multiLevelType w:val="hybridMultilevel"/>
    <w:tmpl w:val="1810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27253"/>
    <w:multiLevelType w:val="hybridMultilevel"/>
    <w:tmpl w:val="6B007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E3E47"/>
    <w:multiLevelType w:val="hybridMultilevel"/>
    <w:tmpl w:val="BAF4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26B31"/>
    <w:multiLevelType w:val="hybridMultilevel"/>
    <w:tmpl w:val="0D34E50C"/>
    <w:lvl w:ilvl="0" w:tplc="844E073E">
      <w:start w:val="1"/>
      <w:numFmt w:val="decimal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CEDFE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F67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FA8D9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26E87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E823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C4CF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42A7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94DC3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E01D58"/>
    <w:multiLevelType w:val="hybridMultilevel"/>
    <w:tmpl w:val="CB866E7E"/>
    <w:lvl w:ilvl="0" w:tplc="478889A4">
      <w:start w:val="4"/>
      <w:numFmt w:val="decimal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AE15F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4093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E0084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C0DF6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9C473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9A40B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444C8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0826B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0C4FCA"/>
    <w:multiLevelType w:val="hybridMultilevel"/>
    <w:tmpl w:val="66DC6AA4"/>
    <w:lvl w:ilvl="0" w:tplc="9D1CBF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6CB772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268E5E">
      <w:start w:val="1"/>
      <w:numFmt w:val="decimal"/>
      <w:lvlRestart w:val="0"/>
      <w:lvlText w:val="%3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24AD8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6F96A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0ED6E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617DC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CB306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44628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C13369"/>
    <w:multiLevelType w:val="hybridMultilevel"/>
    <w:tmpl w:val="1E643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13412"/>
    <w:multiLevelType w:val="hybridMultilevel"/>
    <w:tmpl w:val="8F3A22DC"/>
    <w:lvl w:ilvl="0" w:tplc="A9DCDB3A">
      <w:start w:val="4"/>
      <w:numFmt w:val="decimal"/>
      <w:lvlText w:val="%1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A045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F2BFFA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D02DB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C493A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9808F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C4E5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AD7C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E8235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672C97"/>
    <w:multiLevelType w:val="hybridMultilevel"/>
    <w:tmpl w:val="CD5CFA40"/>
    <w:lvl w:ilvl="0" w:tplc="FF5E3F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643370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BE3422">
      <w:start w:val="1"/>
      <w:numFmt w:val="decimal"/>
      <w:lvlRestart w:val="0"/>
      <w:lvlText w:val="%3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26C25E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6B936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25738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A2FBDE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24E96E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4A9DC0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E14CFE"/>
    <w:multiLevelType w:val="hybridMultilevel"/>
    <w:tmpl w:val="DDC42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C43F8"/>
    <w:multiLevelType w:val="hybridMultilevel"/>
    <w:tmpl w:val="691CF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04B95"/>
    <w:multiLevelType w:val="hybridMultilevel"/>
    <w:tmpl w:val="98E88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814E5"/>
    <w:multiLevelType w:val="hybridMultilevel"/>
    <w:tmpl w:val="89FE6DB6"/>
    <w:lvl w:ilvl="0" w:tplc="36CA49C8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C44B0">
      <w:start w:val="1"/>
      <w:numFmt w:val="decimal"/>
      <w:lvlText w:val="%2)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FC4DF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061CFC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463AB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3CFD62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F40AE8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9A455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463EA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F16945"/>
    <w:multiLevelType w:val="hybridMultilevel"/>
    <w:tmpl w:val="B4B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C4501"/>
    <w:multiLevelType w:val="hybridMultilevel"/>
    <w:tmpl w:val="E452E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4"/>
  </w:num>
  <w:num w:numId="5">
    <w:abstractNumId w:val="0"/>
  </w:num>
  <w:num w:numId="6">
    <w:abstractNumId w:val="15"/>
  </w:num>
  <w:num w:numId="7">
    <w:abstractNumId w:val="12"/>
  </w:num>
  <w:num w:numId="8">
    <w:abstractNumId w:val="20"/>
  </w:num>
  <w:num w:numId="9">
    <w:abstractNumId w:val="17"/>
  </w:num>
  <w:num w:numId="10">
    <w:abstractNumId w:val="8"/>
  </w:num>
  <w:num w:numId="11">
    <w:abstractNumId w:val="6"/>
  </w:num>
  <w:num w:numId="12">
    <w:abstractNumId w:val="21"/>
  </w:num>
  <w:num w:numId="13">
    <w:abstractNumId w:val="9"/>
  </w:num>
  <w:num w:numId="14">
    <w:abstractNumId w:val="4"/>
  </w:num>
  <w:num w:numId="15">
    <w:abstractNumId w:val="7"/>
  </w:num>
  <w:num w:numId="16">
    <w:abstractNumId w:val="18"/>
  </w:num>
  <w:num w:numId="17">
    <w:abstractNumId w:val="5"/>
  </w:num>
  <w:num w:numId="18">
    <w:abstractNumId w:val="3"/>
  </w:num>
  <w:num w:numId="19">
    <w:abstractNumId w:val="1"/>
  </w:num>
  <w:num w:numId="20">
    <w:abstractNumId w:val="2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10"/>
    <w:rsid w:val="007A1F1B"/>
    <w:rsid w:val="00C77CCB"/>
    <w:rsid w:val="00C96A18"/>
    <w:rsid w:val="00CC7CB9"/>
    <w:rsid w:val="00DD1680"/>
    <w:rsid w:val="00DD369F"/>
    <w:rsid w:val="00EC22C0"/>
    <w:rsid w:val="00F1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E10"/>
    <w:pPr>
      <w:spacing w:after="154" w:line="271" w:lineRule="auto"/>
      <w:ind w:left="576" w:right="3" w:hanging="576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E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7E10"/>
    <w:rPr>
      <w:rFonts w:ascii="Arial" w:eastAsia="Arial" w:hAnsi="Arial" w:cs="Arial"/>
      <w:color w:val="000000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E10"/>
    <w:pPr>
      <w:spacing w:after="154" w:line="271" w:lineRule="auto"/>
      <w:ind w:left="576" w:right="3" w:hanging="576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E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7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7E10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1797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2020-05-19T14:24:00Z</cp:lastPrinted>
  <dcterms:created xsi:type="dcterms:W3CDTF">2020-05-15T15:43:00Z</dcterms:created>
  <dcterms:modified xsi:type="dcterms:W3CDTF">2020-05-19T14:24:00Z</dcterms:modified>
</cp:coreProperties>
</file>